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C5771" w14:textId="376BC463" w:rsidR="00AC170E" w:rsidRPr="00AC170E" w:rsidRDefault="00AC170E" w:rsidP="00C16939">
      <w:pPr>
        <w:pStyle w:val="Heading1"/>
        <w:rPr>
          <w:b w:val="0"/>
        </w:rPr>
      </w:pPr>
      <w:r w:rsidRPr="00AC170E">
        <w:t xml:space="preserve">Specialist </w:t>
      </w:r>
      <w:r w:rsidR="000D462D">
        <w:t xml:space="preserve">Physician </w:t>
      </w:r>
      <w:r w:rsidRPr="00AC170E">
        <w:t>Ratio Standards and Methodology</w:t>
      </w:r>
    </w:p>
    <w:p w14:paraId="63F3C83B" w14:textId="0D6029FA" w:rsidR="00DA5C12" w:rsidRPr="008D6996" w:rsidRDefault="00A15ED6" w:rsidP="00C16939">
      <w:pPr>
        <w:pStyle w:val="Heading2"/>
        <w:rPr>
          <w:sz w:val="24"/>
          <w:szCs w:val="24"/>
        </w:rPr>
      </w:pPr>
      <w:r w:rsidRPr="008D6996">
        <w:rPr>
          <w:sz w:val="24"/>
          <w:szCs w:val="24"/>
        </w:rPr>
        <w:t xml:space="preserve">I. </w:t>
      </w:r>
      <w:r w:rsidR="00DA5C12" w:rsidRPr="008D6996">
        <w:rPr>
          <w:sz w:val="24"/>
          <w:szCs w:val="24"/>
        </w:rPr>
        <w:t>Standards and Methodology</w:t>
      </w:r>
    </w:p>
    <w:p w14:paraId="7A04F2E3" w14:textId="6A04F1C1" w:rsidR="008A78FE" w:rsidRDefault="001D6D43" w:rsidP="00DA5C12">
      <w:pPr>
        <w:spacing w:after="240"/>
        <w:rPr>
          <w:rFonts w:ascii="Arial" w:hAnsi="Arial" w:cs="Arial"/>
          <w:sz w:val="24"/>
          <w:szCs w:val="24"/>
          <w:u w:val="single"/>
        </w:rPr>
      </w:pPr>
      <w:r w:rsidRPr="00821668">
        <w:rPr>
          <w:rFonts w:ascii="Arial" w:hAnsi="Arial" w:cs="Arial"/>
          <w:sz w:val="24"/>
          <w:szCs w:val="24"/>
          <w:u w:val="single"/>
        </w:rPr>
        <w:t>The</w:t>
      </w:r>
      <w:r w:rsidR="00DA5C12" w:rsidRPr="00821668">
        <w:rPr>
          <w:rFonts w:ascii="Arial" w:hAnsi="Arial" w:cs="Arial"/>
          <w:sz w:val="24"/>
          <w:szCs w:val="24"/>
          <w:u w:val="single"/>
        </w:rPr>
        <w:t xml:space="preserve"> </w:t>
      </w:r>
      <w:r w:rsidR="00C00600">
        <w:rPr>
          <w:rFonts w:ascii="Arial" w:hAnsi="Arial" w:cs="Arial"/>
          <w:sz w:val="24"/>
          <w:szCs w:val="24"/>
          <w:u w:val="single"/>
        </w:rPr>
        <w:t>Department of Managed Health Care (</w:t>
      </w:r>
      <w:r w:rsidR="00DA5C12" w:rsidRPr="00821668">
        <w:rPr>
          <w:rFonts w:ascii="Arial" w:hAnsi="Arial" w:cs="Arial"/>
          <w:sz w:val="24"/>
          <w:szCs w:val="24"/>
          <w:u w:val="single"/>
        </w:rPr>
        <w:t>DMHC</w:t>
      </w:r>
      <w:r w:rsidR="00C00600">
        <w:rPr>
          <w:rFonts w:ascii="Arial" w:hAnsi="Arial" w:cs="Arial"/>
          <w:sz w:val="24"/>
          <w:szCs w:val="24"/>
          <w:u w:val="single"/>
        </w:rPr>
        <w:t>)</w:t>
      </w:r>
      <w:r w:rsidR="00DA5C12" w:rsidRPr="00821668">
        <w:rPr>
          <w:rFonts w:ascii="Arial" w:hAnsi="Arial" w:cs="Arial"/>
          <w:sz w:val="24"/>
          <w:szCs w:val="24"/>
          <w:u w:val="single"/>
        </w:rPr>
        <w:t xml:space="preserve"> will evaluate the ability of </w:t>
      </w:r>
      <w:r w:rsidR="00D54CA1">
        <w:rPr>
          <w:rFonts w:ascii="Arial" w:hAnsi="Arial" w:cs="Arial"/>
          <w:sz w:val="24"/>
          <w:szCs w:val="24"/>
          <w:u w:val="single"/>
        </w:rPr>
        <w:t xml:space="preserve">health care service </w:t>
      </w:r>
      <w:r w:rsidR="00DA5C12" w:rsidRPr="00821668">
        <w:rPr>
          <w:rFonts w:ascii="Arial" w:hAnsi="Arial" w:cs="Arial"/>
          <w:sz w:val="24"/>
          <w:szCs w:val="24"/>
          <w:u w:val="single"/>
        </w:rPr>
        <w:t xml:space="preserve">plan </w:t>
      </w:r>
      <w:r w:rsidR="00D54CA1">
        <w:rPr>
          <w:rFonts w:ascii="Arial" w:hAnsi="Arial" w:cs="Arial"/>
          <w:sz w:val="24"/>
          <w:szCs w:val="24"/>
          <w:u w:val="single"/>
        </w:rPr>
        <w:t xml:space="preserve">(plan) </w:t>
      </w:r>
      <w:r w:rsidR="00DA5C12" w:rsidRPr="00821668">
        <w:rPr>
          <w:rFonts w:ascii="Arial" w:hAnsi="Arial" w:cs="Arial"/>
          <w:sz w:val="24"/>
          <w:szCs w:val="24"/>
          <w:u w:val="single"/>
        </w:rPr>
        <w:t xml:space="preserve">networks to demonstrate sufficient capacity of </w:t>
      </w:r>
      <w:r w:rsidR="007B1DFC">
        <w:rPr>
          <w:rFonts w:ascii="Arial" w:hAnsi="Arial" w:cs="Arial"/>
          <w:sz w:val="24"/>
          <w:szCs w:val="24"/>
          <w:u w:val="single"/>
        </w:rPr>
        <w:t>specified specialist physician types</w:t>
      </w:r>
      <w:r w:rsidR="00582CAB" w:rsidRPr="00821668">
        <w:rPr>
          <w:rFonts w:ascii="Arial" w:hAnsi="Arial" w:cs="Arial"/>
          <w:sz w:val="24"/>
          <w:szCs w:val="24"/>
          <w:u w:val="single"/>
        </w:rPr>
        <w:t xml:space="preserve"> </w:t>
      </w:r>
      <w:r w:rsidR="00DA5C12" w:rsidRPr="00821668">
        <w:rPr>
          <w:rFonts w:ascii="Arial" w:hAnsi="Arial" w:cs="Arial"/>
          <w:sz w:val="24"/>
          <w:szCs w:val="24"/>
          <w:u w:val="single"/>
        </w:rPr>
        <w:t xml:space="preserve">to ensure compliance with network adequacy standards referenced in </w:t>
      </w:r>
      <w:r w:rsidR="004802C5">
        <w:rPr>
          <w:rFonts w:ascii="Arial" w:hAnsi="Arial" w:cs="Arial"/>
          <w:sz w:val="24"/>
          <w:szCs w:val="24"/>
          <w:u w:val="single"/>
        </w:rPr>
        <w:t xml:space="preserve">Health &amp; Safety Code </w:t>
      </w:r>
      <w:r w:rsidR="00DA5C12" w:rsidRPr="00AC170E">
        <w:rPr>
          <w:rFonts w:ascii="Arial" w:hAnsi="Arial" w:cs="Arial"/>
          <w:sz w:val="24"/>
          <w:szCs w:val="24"/>
          <w:u w:val="single"/>
        </w:rPr>
        <w:t xml:space="preserve">Sections </w:t>
      </w:r>
      <w:r w:rsidR="0019660A" w:rsidRPr="00AC170E">
        <w:rPr>
          <w:rFonts w:ascii="Arial" w:hAnsi="Arial" w:cs="Arial"/>
          <w:sz w:val="24"/>
          <w:szCs w:val="24"/>
          <w:u w:val="single"/>
        </w:rPr>
        <w:t xml:space="preserve">1367, </w:t>
      </w:r>
      <w:r w:rsidR="00DA5C12" w:rsidRPr="00AC170E">
        <w:rPr>
          <w:rFonts w:ascii="Arial" w:hAnsi="Arial" w:cs="Arial"/>
          <w:sz w:val="24"/>
          <w:szCs w:val="24"/>
          <w:u w:val="single"/>
        </w:rPr>
        <w:t>1367.03, 1367.035, and 1374.72</w:t>
      </w:r>
      <w:r w:rsidR="004802C5" w:rsidRPr="00AC170E">
        <w:rPr>
          <w:rFonts w:ascii="Arial" w:hAnsi="Arial" w:cs="Arial"/>
          <w:sz w:val="24"/>
          <w:szCs w:val="24"/>
          <w:u w:val="single"/>
        </w:rPr>
        <w:t>,</w:t>
      </w:r>
      <w:r w:rsidR="00DA5C12" w:rsidRPr="00AC170E">
        <w:rPr>
          <w:rFonts w:ascii="Arial" w:hAnsi="Arial" w:cs="Arial"/>
          <w:sz w:val="24"/>
          <w:szCs w:val="24"/>
          <w:u w:val="single"/>
        </w:rPr>
        <w:t xml:space="preserve"> and </w:t>
      </w:r>
      <w:r w:rsidR="00776817" w:rsidRPr="00AC170E">
        <w:rPr>
          <w:rFonts w:ascii="Arial" w:hAnsi="Arial" w:cs="Arial"/>
          <w:sz w:val="24"/>
          <w:szCs w:val="24"/>
          <w:u w:val="single"/>
        </w:rPr>
        <w:t xml:space="preserve">28 CCR §§ </w:t>
      </w:r>
      <w:r w:rsidR="00DA5C12" w:rsidRPr="00AC170E">
        <w:rPr>
          <w:rFonts w:ascii="Arial" w:hAnsi="Arial" w:cs="Arial"/>
          <w:sz w:val="24"/>
          <w:szCs w:val="24"/>
          <w:u w:val="single"/>
        </w:rPr>
        <w:t>1300.67.2</w:t>
      </w:r>
      <w:r w:rsidR="0019660A" w:rsidRPr="00AC170E">
        <w:rPr>
          <w:rFonts w:ascii="Arial" w:hAnsi="Arial" w:cs="Arial"/>
          <w:sz w:val="24"/>
          <w:szCs w:val="24"/>
          <w:u w:val="single"/>
        </w:rPr>
        <w:t xml:space="preserve">, 1300.74.72, </w:t>
      </w:r>
      <w:r w:rsidR="00DA5C12" w:rsidRPr="00AC170E">
        <w:rPr>
          <w:rFonts w:ascii="Arial" w:hAnsi="Arial" w:cs="Arial"/>
          <w:sz w:val="24"/>
          <w:szCs w:val="24"/>
          <w:u w:val="single"/>
        </w:rPr>
        <w:t>and 1300.67.2.2.</w:t>
      </w:r>
      <w:r w:rsidR="008D411E" w:rsidRPr="00AC170E">
        <w:rPr>
          <w:rStyle w:val="FootnoteReference"/>
          <w:rFonts w:ascii="Arial" w:hAnsi="Arial" w:cs="Arial"/>
          <w:sz w:val="24"/>
          <w:szCs w:val="24"/>
          <w:u w:val="single"/>
        </w:rPr>
        <w:footnoteReference w:id="2"/>
      </w:r>
      <w:r w:rsidR="00DA5C12" w:rsidRPr="00AC170E">
        <w:rPr>
          <w:rFonts w:ascii="Arial" w:hAnsi="Arial" w:cs="Arial"/>
          <w:sz w:val="24"/>
          <w:szCs w:val="24"/>
          <w:u w:val="single"/>
        </w:rPr>
        <w:t xml:space="preserve"> As part of this review, </w:t>
      </w:r>
      <w:r w:rsidR="00850C7A" w:rsidRPr="00AC170E">
        <w:rPr>
          <w:rFonts w:ascii="Arial" w:hAnsi="Arial" w:cs="Arial"/>
          <w:sz w:val="24"/>
          <w:szCs w:val="24"/>
          <w:u w:val="single"/>
        </w:rPr>
        <w:t xml:space="preserve">for reporting year (RY) 2025, </w:t>
      </w:r>
      <w:r w:rsidR="00DA5C12" w:rsidRPr="00AC170E">
        <w:rPr>
          <w:rFonts w:ascii="Arial" w:hAnsi="Arial" w:cs="Arial"/>
          <w:sz w:val="24"/>
          <w:szCs w:val="24"/>
          <w:u w:val="single"/>
        </w:rPr>
        <w:t xml:space="preserve">the DMHC will evaluate reported </w:t>
      </w:r>
      <w:r w:rsidR="00DA5C12" w:rsidRPr="00821668">
        <w:rPr>
          <w:rFonts w:ascii="Arial" w:hAnsi="Arial" w:cs="Arial"/>
          <w:sz w:val="24"/>
          <w:szCs w:val="24"/>
          <w:u w:val="single"/>
        </w:rPr>
        <w:t xml:space="preserve">annual network data against a minimum capacity requirement, through a ratio standard for </w:t>
      </w:r>
      <w:r w:rsidR="009629FC">
        <w:rPr>
          <w:rFonts w:ascii="Arial" w:hAnsi="Arial" w:cs="Arial"/>
          <w:sz w:val="24"/>
          <w:szCs w:val="24"/>
          <w:u w:val="single"/>
        </w:rPr>
        <w:t>specialist physicians</w:t>
      </w:r>
      <w:r w:rsidR="0017253A" w:rsidRPr="00821668">
        <w:rPr>
          <w:rFonts w:ascii="Arial" w:hAnsi="Arial" w:cs="Arial"/>
          <w:sz w:val="24"/>
          <w:szCs w:val="24"/>
          <w:u w:val="single"/>
        </w:rPr>
        <w:t>.</w:t>
      </w:r>
      <w:r w:rsidR="00BC5DBD" w:rsidRPr="00866666">
        <w:rPr>
          <w:rStyle w:val="FootnoteReference"/>
          <w:rFonts w:ascii="Arial" w:hAnsi="Arial" w:cs="Arial"/>
          <w:sz w:val="24"/>
          <w:szCs w:val="24"/>
          <w:u w:val="single"/>
        </w:rPr>
        <w:footnoteReference w:id="3"/>
      </w:r>
      <w:r w:rsidR="00E60932" w:rsidRPr="00866666">
        <w:rPr>
          <w:rStyle w:val="FootnoteReference"/>
          <w:rFonts w:ascii="Arial" w:hAnsi="Arial" w:cs="Arial"/>
          <w:sz w:val="24"/>
          <w:szCs w:val="24"/>
          <w:u w:val="single"/>
        </w:rPr>
        <w:t xml:space="preserve"> </w:t>
      </w:r>
      <w:r w:rsidR="00DA5C12" w:rsidRPr="00821668">
        <w:rPr>
          <w:rFonts w:ascii="Arial" w:hAnsi="Arial" w:cs="Arial"/>
          <w:sz w:val="24"/>
          <w:szCs w:val="24"/>
          <w:u w:val="single"/>
        </w:rPr>
        <w:t xml:space="preserve">The ratio standard takes into consideration the full-time equivalent (FTE) ratio of </w:t>
      </w:r>
      <w:r w:rsidR="003822E9">
        <w:rPr>
          <w:rFonts w:ascii="Arial" w:hAnsi="Arial" w:cs="Arial"/>
          <w:sz w:val="24"/>
          <w:szCs w:val="24"/>
          <w:u w:val="single"/>
        </w:rPr>
        <w:t>specialist physician types</w:t>
      </w:r>
      <w:r w:rsidR="00076CFF">
        <w:rPr>
          <w:rFonts w:ascii="Arial" w:hAnsi="Arial" w:cs="Arial"/>
          <w:sz w:val="24"/>
          <w:szCs w:val="24"/>
          <w:u w:val="single"/>
        </w:rPr>
        <w:t xml:space="preserve"> to </w:t>
      </w:r>
      <w:r w:rsidR="00DA5C12" w:rsidRPr="00821668">
        <w:rPr>
          <w:rFonts w:ascii="Arial" w:hAnsi="Arial" w:cs="Arial"/>
          <w:sz w:val="24"/>
          <w:szCs w:val="24"/>
          <w:u w:val="single"/>
        </w:rPr>
        <w:t xml:space="preserve">enrollees within a network, and within counties in the network service area. Additionally, the ratio standard considers a plan’s reported network providers that offer </w:t>
      </w:r>
      <w:r w:rsidR="009F09EA">
        <w:rPr>
          <w:rFonts w:ascii="Arial" w:hAnsi="Arial" w:cs="Arial"/>
          <w:sz w:val="24"/>
          <w:szCs w:val="24"/>
          <w:u w:val="single"/>
        </w:rPr>
        <w:t>specialist physician</w:t>
      </w:r>
      <w:r w:rsidR="00DA5C12" w:rsidRPr="00821668">
        <w:rPr>
          <w:rFonts w:ascii="Arial" w:hAnsi="Arial" w:cs="Arial"/>
          <w:sz w:val="24"/>
          <w:szCs w:val="24"/>
          <w:u w:val="single"/>
        </w:rPr>
        <w:t xml:space="preserve"> services exclusively via telehealth modalities.</w:t>
      </w:r>
      <w:r w:rsidR="00D479B2">
        <w:rPr>
          <w:rStyle w:val="FootnoteReference"/>
          <w:rFonts w:ascii="Arial" w:hAnsi="Arial" w:cs="Arial"/>
          <w:sz w:val="24"/>
          <w:szCs w:val="24"/>
          <w:u w:val="single"/>
        </w:rPr>
        <w:footnoteReference w:id="4"/>
      </w:r>
    </w:p>
    <w:p w14:paraId="1A556783" w14:textId="6ADF87FB" w:rsidR="00DA5C12" w:rsidRPr="00821668" w:rsidRDefault="0008770A" w:rsidP="00DA5C12">
      <w:pPr>
        <w:spacing w:after="240"/>
        <w:rPr>
          <w:rFonts w:ascii="Arial" w:hAnsi="Arial" w:cs="Arial"/>
          <w:sz w:val="24"/>
          <w:szCs w:val="24"/>
          <w:u w:val="single"/>
        </w:rPr>
      </w:pPr>
      <w:r w:rsidRPr="00821668">
        <w:rPr>
          <w:rFonts w:ascii="Arial" w:hAnsi="Arial" w:cs="Arial"/>
          <w:sz w:val="24"/>
          <w:szCs w:val="24"/>
          <w:u w:val="single"/>
        </w:rPr>
        <w:t xml:space="preserve">In some </w:t>
      </w:r>
      <w:r w:rsidR="00C93F1B" w:rsidRPr="00821668">
        <w:rPr>
          <w:rFonts w:ascii="Arial" w:hAnsi="Arial" w:cs="Arial"/>
          <w:sz w:val="24"/>
          <w:szCs w:val="24"/>
          <w:u w:val="single"/>
        </w:rPr>
        <w:t>cases,</w:t>
      </w:r>
      <w:r w:rsidRPr="00821668">
        <w:rPr>
          <w:rFonts w:ascii="Arial" w:hAnsi="Arial" w:cs="Arial"/>
          <w:sz w:val="24"/>
          <w:szCs w:val="24"/>
          <w:u w:val="single"/>
        </w:rPr>
        <w:t xml:space="preserve"> a plan</w:t>
      </w:r>
      <w:r w:rsidR="00C93F1B">
        <w:rPr>
          <w:rFonts w:ascii="Arial" w:hAnsi="Arial" w:cs="Arial"/>
          <w:sz w:val="24"/>
          <w:szCs w:val="24"/>
          <w:u w:val="single"/>
        </w:rPr>
        <w:t>’s</w:t>
      </w:r>
      <w:r w:rsidRPr="00821668">
        <w:rPr>
          <w:rFonts w:ascii="Arial" w:hAnsi="Arial" w:cs="Arial"/>
          <w:sz w:val="24"/>
          <w:szCs w:val="24"/>
          <w:u w:val="single"/>
        </w:rPr>
        <w:t xml:space="preserve"> network may not meet the established ratio standard but, due to specific circumstances, </w:t>
      </w:r>
      <w:r w:rsidR="0021410A">
        <w:rPr>
          <w:rFonts w:ascii="Arial" w:hAnsi="Arial" w:cs="Arial"/>
          <w:sz w:val="24"/>
          <w:szCs w:val="24"/>
          <w:u w:val="single"/>
        </w:rPr>
        <w:t xml:space="preserve">may </w:t>
      </w:r>
      <w:r w:rsidRPr="00821668">
        <w:rPr>
          <w:rFonts w:ascii="Arial" w:hAnsi="Arial" w:cs="Arial"/>
          <w:sz w:val="24"/>
          <w:szCs w:val="24"/>
          <w:u w:val="single"/>
        </w:rPr>
        <w:t xml:space="preserve">still provide reasonable access to care. To address these circumstances, the </w:t>
      </w:r>
      <w:r w:rsidR="0067326E">
        <w:rPr>
          <w:rFonts w:ascii="Arial" w:hAnsi="Arial" w:cs="Arial"/>
          <w:sz w:val="24"/>
          <w:szCs w:val="24"/>
          <w:u w:val="single"/>
        </w:rPr>
        <w:t>standard includes</w:t>
      </w:r>
      <w:r w:rsidRPr="00821668">
        <w:rPr>
          <w:rFonts w:ascii="Arial" w:hAnsi="Arial" w:cs="Arial"/>
          <w:sz w:val="24"/>
          <w:szCs w:val="24"/>
          <w:u w:val="single"/>
        </w:rPr>
        <w:t xml:space="preserve"> alternative methodologies and ratio modifiers that the D</w:t>
      </w:r>
      <w:r w:rsidR="00224E86" w:rsidRPr="00821668">
        <w:rPr>
          <w:rFonts w:ascii="Arial" w:hAnsi="Arial" w:cs="Arial"/>
          <w:sz w:val="24"/>
          <w:szCs w:val="24"/>
          <w:u w:val="single"/>
        </w:rPr>
        <w:t>MHC</w:t>
      </w:r>
      <w:r w:rsidRPr="00821668">
        <w:rPr>
          <w:rFonts w:ascii="Arial" w:hAnsi="Arial" w:cs="Arial"/>
          <w:sz w:val="24"/>
          <w:szCs w:val="24"/>
          <w:u w:val="single"/>
        </w:rPr>
        <w:t xml:space="preserve"> will </w:t>
      </w:r>
      <w:r w:rsidR="00D50A4C">
        <w:rPr>
          <w:rFonts w:ascii="Arial" w:hAnsi="Arial" w:cs="Arial"/>
          <w:sz w:val="24"/>
          <w:szCs w:val="24"/>
          <w:u w:val="single"/>
        </w:rPr>
        <w:t>implement</w:t>
      </w:r>
      <w:r w:rsidR="008E5C13">
        <w:rPr>
          <w:rFonts w:ascii="Arial" w:hAnsi="Arial" w:cs="Arial"/>
          <w:sz w:val="24"/>
          <w:szCs w:val="24"/>
          <w:u w:val="single"/>
        </w:rPr>
        <w:t xml:space="preserve"> </w:t>
      </w:r>
      <w:r w:rsidR="00814BB6">
        <w:rPr>
          <w:rFonts w:ascii="Arial" w:hAnsi="Arial" w:cs="Arial"/>
          <w:sz w:val="24"/>
          <w:szCs w:val="24"/>
          <w:u w:val="single"/>
        </w:rPr>
        <w:t>when</w:t>
      </w:r>
      <w:r w:rsidR="009B7F36">
        <w:rPr>
          <w:rFonts w:ascii="Arial" w:hAnsi="Arial" w:cs="Arial"/>
          <w:sz w:val="24"/>
          <w:szCs w:val="24"/>
          <w:u w:val="single"/>
        </w:rPr>
        <w:t xml:space="preserve"> applicable</w:t>
      </w:r>
      <w:r w:rsidR="00CC5F11">
        <w:rPr>
          <w:rFonts w:ascii="Arial" w:hAnsi="Arial" w:cs="Arial"/>
          <w:sz w:val="24"/>
          <w:szCs w:val="24"/>
          <w:u w:val="single"/>
        </w:rPr>
        <w:t xml:space="preserve"> to the network, county, and provider type</w:t>
      </w:r>
      <w:r w:rsidRPr="00821668">
        <w:rPr>
          <w:rFonts w:ascii="Arial" w:hAnsi="Arial" w:cs="Arial"/>
          <w:sz w:val="24"/>
          <w:szCs w:val="24"/>
          <w:u w:val="single"/>
        </w:rPr>
        <w:t>.</w:t>
      </w:r>
    </w:p>
    <w:p w14:paraId="05285EC6" w14:textId="75FF75EE" w:rsidR="00850C7A" w:rsidRPr="00821668" w:rsidRDefault="00CE1C99" w:rsidP="003E60DC">
      <w:pPr>
        <w:tabs>
          <w:tab w:val="left" w:pos="7830"/>
        </w:tabs>
        <w:spacing w:after="360"/>
        <w:rPr>
          <w:rFonts w:ascii="Arial" w:hAnsi="Arial" w:cs="Arial"/>
          <w:sz w:val="24"/>
          <w:szCs w:val="24"/>
          <w:u w:val="single"/>
        </w:rPr>
      </w:pPr>
      <w:r w:rsidRPr="00821668">
        <w:rPr>
          <w:rFonts w:ascii="Arial" w:hAnsi="Arial" w:cs="Arial"/>
          <w:sz w:val="24"/>
          <w:szCs w:val="24"/>
          <w:u w:val="single"/>
        </w:rPr>
        <w:t xml:space="preserve">If a plan’s network </w:t>
      </w:r>
      <w:r w:rsidR="00666C08" w:rsidRPr="00821668">
        <w:rPr>
          <w:rFonts w:ascii="Arial" w:hAnsi="Arial" w:cs="Arial"/>
          <w:sz w:val="24"/>
          <w:szCs w:val="24"/>
          <w:u w:val="single"/>
        </w:rPr>
        <w:t>does not</w:t>
      </w:r>
      <w:r w:rsidRPr="00821668">
        <w:rPr>
          <w:rFonts w:ascii="Arial" w:hAnsi="Arial" w:cs="Arial"/>
          <w:sz w:val="24"/>
          <w:szCs w:val="24"/>
          <w:u w:val="single"/>
        </w:rPr>
        <w:t xml:space="preserve"> meet the standard in one or more counties within the network service area, the plan will be informed of the findings and may be required to submit a corrective action plan </w:t>
      </w:r>
      <w:r w:rsidRPr="008D7B78">
        <w:rPr>
          <w:rFonts w:ascii="Arial" w:hAnsi="Arial" w:cs="Arial"/>
          <w:sz w:val="24"/>
          <w:szCs w:val="24"/>
          <w:u w:val="single"/>
        </w:rPr>
        <w:t xml:space="preserve">or </w:t>
      </w:r>
      <w:r w:rsidRPr="00F97CA7">
        <w:rPr>
          <w:rFonts w:ascii="Arial" w:hAnsi="Arial" w:cs="Arial"/>
          <w:sz w:val="24"/>
          <w:szCs w:val="24"/>
          <w:u w:val="single"/>
        </w:rPr>
        <w:t xml:space="preserve">otherwise demonstrate that its network </w:t>
      </w:r>
      <w:r w:rsidR="003E1AD5" w:rsidRPr="00F97CA7">
        <w:rPr>
          <w:rFonts w:ascii="Arial" w:hAnsi="Arial" w:cs="Arial"/>
          <w:sz w:val="24"/>
          <w:szCs w:val="24"/>
          <w:u w:val="single"/>
        </w:rPr>
        <w:t>includes</w:t>
      </w:r>
      <w:r w:rsidRPr="00F97CA7">
        <w:rPr>
          <w:rFonts w:ascii="Arial" w:hAnsi="Arial" w:cs="Arial"/>
          <w:sz w:val="24"/>
          <w:szCs w:val="24"/>
          <w:u w:val="single"/>
        </w:rPr>
        <w:t xml:space="preserve"> </w:t>
      </w:r>
      <w:r w:rsidR="00F86949" w:rsidRPr="00F97CA7">
        <w:rPr>
          <w:rFonts w:ascii="Arial" w:hAnsi="Arial" w:cs="Arial"/>
          <w:sz w:val="24"/>
          <w:szCs w:val="24"/>
          <w:u w:val="single"/>
        </w:rPr>
        <w:t>the identified specialist</w:t>
      </w:r>
      <w:r w:rsidRPr="00F97CA7">
        <w:rPr>
          <w:rFonts w:ascii="Arial" w:hAnsi="Arial" w:cs="Arial"/>
          <w:sz w:val="24"/>
          <w:szCs w:val="24"/>
          <w:u w:val="single"/>
        </w:rPr>
        <w:t xml:space="preserve"> </w:t>
      </w:r>
      <w:r w:rsidR="009330C3" w:rsidRPr="00F97CA7">
        <w:rPr>
          <w:rFonts w:ascii="Arial" w:hAnsi="Arial" w:cs="Arial"/>
          <w:sz w:val="24"/>
          <w:szCs w:val="24"/>
          <w:u w:val="single"/>
        </w:rPr>
        <w:t xml:space="preserve">physician </w:t>
      </w:r>
      <w:r w:rsidR="000A0E73" w:rsidRPr="00F97CA7">
        <w:rPr>
          <w:rFonts w:ascii="Arial" w:hAnsi="Arial" w:cs="Arial"/>
          <w:sz w:val="24"/>
          <w:szCs w:val="24"/>
          <w:u w:val="single"/>
        </w:rPr>
        <w:t>type</w:t>
      </w:r>
      <w:r w:rsidRPr="00F97CA7">
        <w:rPr>
          <w:rFonts w:ascii="Arial" w:hAnsi="Arial" w:cs="Arial"/>
          <w:sz w:val="24"/>
          <w:szCs w:val="24"/>
          <w:u w:val="single"/>
        </w:rPr>
        <w:t xml:space="preserve"> </w:t>
      </w:r>
      <w:r w:rsidR="00B267B8" w:rsidRPr="00F97CA7">
        <w:rPr>
          <w:rFonts w:ascii="Arial" w:hAnsi="Arial" w:cs="Arial"/>
          <w:sz w:val="24"/>
          <w:szCs w:val="24"/>
          <w:u w:val="single"/>
        </w:rPr>
        <w:t xml:space="preserve">with </w:t>
      </w:r>
      <w:r w:rsidRPr="00F97CA7">
        <w:rPr>
          <w:rFonts w:ascii="Arial" w:hAnsi="Arial" w:cs="Arial"/>
          <w:sz w:val="24"/>
          <w:szCs w:val="24"/>
          <w:u w:val="single"/>
        </w:rPr>
        <w:t xml:space="preserve">sufficient </w:t>
      </w:r>
      <w:r w:rsidR="00B267B8" w:rsidRPr="00F97CA7">
        <w:rPr>
          <w:rFonts w:ascii="Arial" w:hAnsi="Arial" w:cs="Arial"/>
          <w:sz w:val="24"/>
          <w:szCs w:val="24"/>
          <w:u w:val="single"/>
        </w:rPr>
        <w:t xml:space="preserve">capacity </w:t>
      </w:r>
      <w:r w:rsidRPr="00F97CA7">
        <w:rPr>
          <w:rFonts w:ascii="Arial" w:hAnsi="Arial" w:cs="Arial"/>
          <w:sz w:val="24"/>
          <w:szCs w:val="24"/>
          <w:u w:val="single"/>
        </w:rPr>
        <w:t>to ensure accessibility of services as required under the Knox-Keene Act and implementing regulati</w:t>
      </w:r>
      <w:r w:rsidRPr="008D6996">
        <w:rPr>
          <w:rFonts w:ascii="Arial" w:hAnsi="Arial" w:cs="Arial"/>
          <w:sz w:val="24"/>
          <w:szCs w:val="24"/>
          <w:u w:val="single"/>
        </w:rPr>
        <w:t>ons.</w:t>
      </w:r>
      <w:r w:rsidRPr="008D6996">
        <w:rPr>
          <w:rStyle w:val="FootnoteReference"/>
          <w:rFonts w:ascii="Arial" w:hAnsi="Arial" w:cs="Arial"/>
          <w:sz w:val="24"/>
          <w:szCs w:val="24"/>
          <w:u w:val="single"/>
        </w:rPr>
        <w:footnoteReference w:id="5"/>
      </w:r>
      <w:r w:rsidRPr="008D6996">
        <w:rPr>
          <w:rFonts w:ascii="Arial" w:hAnsi="Arial" w:cs="Arial"/>
          <w:sz w:val="24"/>
          <w:szCs w:val="24"/>
          <w:u w:val="single"/>
        </w:rPr>
        <w:t xml:space="preserve"> </w:t>
      </w:r>
      <w:r w:rsidR="00784D28" w:rsidRPr="008D6996">
        <w:rPr>
          <w:rFonts w:ascii="Arial" w:hAnsi="Arial" w:cs="Arial"/>
          <w:sz w:val="24"/>
          <w:szCs w:val="24"/>
          <w:u w:val="single"/>
        </w:rPr>
        <w:t>Where the network does not offer sufficient capacity, the Plan must address the requirements set forth in Rule 1300.67.2(i) in its corrective action plan.</w:t>
      </w:r>
      <w:r w:rsidR="001D3D27" w:rsidRPr="008D6996">
        <w:rPr>
          <w:rFonts w:ascii="Arial" w:hAnsi="Arial" w:cs="Arial"/>
          <w:sz w:val="24"/>
          <w:szCs w:val="24"/>
          <w:u w:val="single"/>
        </w:rPr>
        <w:t xml:space="preserve"> </w:t>
      </w:r>
      <w:r w:rsidRPr="008D6996">
        <w:rPr>
          <w:rFonts w:ascii="Arial" w:hAnsi="Arial" w:cs="Arial"/>
          <w:sz w:val="24"/>
          <w:szCs w:val="24"/>
          <w:u w:val="single"/>
        </w:rPr>
        <w:t xml:space="preserve">In subsequent reporting years, the DMHC may also rely upon the standards </w:t>
      </w:r>
      <w:r w:rsidRPr="008D6996">
        <w:rPr>
          <w:rStyle w:val="cf01"/>
          <w:rFonts w:ascii="Arial" w:hAnsi="Arial" w:cs="Arial"/>
          <w:sz w:val="24"/>
          <w:szCs w:val="24"/>
          <w:u w:val="single"/>
        </w:rPr>
        <w:t xml:space="preserve">as a basis for </w:t>
      </w:r>
      <w:r w:rsidR="00B51D03" w:rsidRPr="008D6996">
        <w:rPr>
          <w:rStyle w:val="cf01"/>
          <w:rFonts w:ascii="Arial" w:hAnsi="Arial" w:cs="Arial"/>
          <w:sz w:val="24"/>
          <w:szCs w:val="24"/>
          <w:u w:val="single"/>
        </w:rPr>
        <w:t>taking</w:t>
      </w:r>
      <w:r w:rsidRPr="00821668">
        <w:rPr>
          <w:rStyle w:val="cf01"/>
          <w:rFonts w:ascii="Arial" w:hAnsi="Arial" w:cs="Arial"/>
          <w:sz w:val="24"/>
          <w:szCs w:val="24"/>
          <w:u w:val="single"/>
        </w:rPr>
        <w:t xml:space="preserve"> enforcement action pursuant to the Administrative Procedures Act exemptions established in Section 1367.03(f)</w:t>
      </w:r>
      <w:r w:rsidR="00850C7A">
        <w:rPr>
          <w:rStyle w:val="cf01"/>
          <w:rFonts w:ascii="Arial" w:hAnsi="Arial" w:cs="Arial"/>
          <w:sz w:val="24"/>
          <w:szCs w:val="24"/>
          <w:u w:val="single"/>
        </w:rPr>
        <w:t>.</w:t>
      </w:r>
    </w:p>
    <w:p w14:paraId="5970CB87" w14:textId="77777777" w:rsidR="00DA5C12" w:rsidRPr="00EA55A6" w:rsidRDefault="00DA5C12" w:rsidP="008D6996">
      <w:pPr>
        <w:pStyle w:val="Heading3"/>
        <w:ind w:left="1080"/>
        <w:rPr>
          <w:rFonts w:cs="Arial"/>
          <w:bCs/>
          <w:color w:val="000000" w:themeColor="text1"/>
          <w:sz w:val="28"/>
          <w:szCs w:val="28"/>
        </w:rPr>
      </w:pPr>
      <w:r w:rsidRPr="00EA55A6">
        <w:lastRenderedPageBreak/>
        <w:t>Defined Terms</w:t>
      </w:r>
    </w:p>
    <w:p w14:paraId="573CEA0F" w14:textId="5F14EA4D" w:rsidR="00DA5C12" w:rsidRPr="00EA55A6" w:rsidRDefault="00915AAC" w:rsidP="00DA5C12">
      <w:pPr>
        <w:spacing w:after="240" w:line="259" w:lineRule="auto"/>
        <w:rPr>
          <w:rFonts w:ascii="Arial" w:hAnsi="Arial" w:cs="Arial"/>
          <w:sz w:val="24"/>
          <w:szCs w:val="24"/>
          <w:u w:val="single"/>
        </w:rPr>
      </w:pPr>
      <w:r w:rsidRPr="00EA55A6">
        <w:rPr>
          <w:rFonts w:ascii="Arial" w:hAnsi="Arial" w:cs="Arial"/>
          <w:sz w:val="24"/>
          <w:szCs w:val="24"/>
          <w:u w:val="single"/>
        </w:rPr>
        <w:t xml:space="preserve">Plans </w:t>
      </w:r>
      <w:r w:rsidR="00DA5C12" w:rsidRPr="00EA55A6">
        <w:rPr>
          <w:rFonts w:ascii="Arial" w:hAnsi="Arial" w:cs="Arial"/>
          <w:sz w:val="24"/>
          <w:szCs w:val="24"/>
          <w:u w:val="single"/>
        </w:rPr>
        <w:t>will be assessed for compliance with this standard using the defined terms below:</w:t>
      </w:r>
      <w:r w:rsidR="00DA5C12" w:rsidRPr="00EA55A6">
        <w:rPr>
          <w:rStyle w:val="FootnoteReference"/>
          <w:rFonts w:ascii="Arial" w:hAnsi="Arial" w:cs="Arial"/>
          <w:sz w:val="24"/>
          <w:szCs w:val="24"/>
          <w:u w:val="single"/>
        </w:rPr>
        <w:footnoteReference w:id="6"/>
      </w:r>
    </w:p>
    <w:p w14:paraId="56EC307E" w14:textId="28C681E6" w:rsidR="00DA5C12" w:rsidRPr="00EA55A6" w:rsidRDefault="00DA5C12" w:rsidP="00977D40">
      <w:pPr>
        <w:pStyle w:val="ListParagraph"/>
        <w:numPr>
          <w:ilvl w:val="0"/>
          <w:numId w:val="4"/>
        </w:numPr>
        <w:spacing w:after="240" w:line="259" w:lineRule="auto"/>
        <w:ind w:left="720"/>
        <w:contextualSpacing w:val="0"/>
        <w:rPr>
          <w:rFonts w:ascii="Arial" w:eastAsia="Times New Roman" w:hAnsi="Arial" w:cs="Arial"/>
          <w:sz w:val="24"/>
          <w:szCs w:val="24"/>
          <w:u w:val="single"/>
        </w:rPr>
      </w:pPr>
      <w:r w:rsidRPr="00EA55A6">
        <w:rPr>
          <w:rFonts w:ascii="Arial" w:eastAsia="Times New Roman" w:hAnsi="Arial" w:cs="Arial"/>
          <w:sz w:val="24"/>
          <w:szCs w:val="24"/>
          <w:u w:val="single"/>
        </w:rPr>
        <w:t>“Applicable county” means the county or partial county within the plan’s network service area.</w:t>
      </w:r>
    </w:p>
    <w:p w14:paraId="1B68AB09" w14:textId="14CA5C95" w:rsidR="00DA5C12" w:rsidRPr="00EA55A6" w:rsidRDefault="00DA5C12" w:rsidP="00977D40">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EA55A6">
        <w:rPr>
          <w:rFonts w:ascii="Arial" w:hAnsi="Arial" w:cs="Arial"/>
          <w:color w:val="000000" w:themeColor="text1"/>
          <w:sz w:val="24"/>
          <w:szCs w:val="24"/>
          <w:u w:val="single"/>
        </w:rPr>
        <w:t xml:space="preserve">“County Types” means the combination of counties that are similarly situated with regard 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t>
      </w:r>
      <w:hyperlink r:id="rId11" w:history="1">
        <w:r w:rsidR="00C20663" w:rsidRPr="005249DC">
          <w:rPr>
            <w:rStyle w:val="Hyperlink"/>
            <w:rFonts w:ascii="Arial" w:hAnsi="Arial" w:cs="Arial"/>
            <w:sz w:val="24"/>
            <w:szCs w:val="24"/>
          </w:rPr>
          <w:t>www.cms.gov</w:t>
        </w:r>
      </w:hyperlink>
      <w:r w:rsidRPr="00EA55A6">
        <w:rPr>
          <w:rFonts w:ascii="Arial" w:hAnsi="Arial" w:cs="Arial"/>
          <w:color w:val="000000" w:themeColor="text1"/>
          <w:sz w:val="24"/>
          <w:szCs w:val="24"/>
          <w:u w:val="single"/>
        </w:rPr>
        <w:t>.</w:t>
      </w:r>
    </w:p>
    <w:p w14:paraId="19763D6E" w14:textId="455AF625" w:rsidR="00DA5C12" w:rsidRPr="001A54B8" w:rsidRDefault="00DA5C12" w:rsidP="00977D40">
      <w:pPr>
        <w:pStyle w:val="ListParagraph"/>
        <w:numPr>
          <w:ilvl w:val="0"/>
          <w:numId w:val="17"/>
        </w:numPr>
        <w:spacing w:after="240"/>
        <w:ind w:left="1080"/>
        <w:contextualSpacing w:val="0"/>
        <w:rPr>
          <w:rFonts w:ascii="Arial" w:hAnsi="Arial" w:cs="Arial"/>
          <w:color w:val="000000" w:themeColor="text1"/>
          <w:sz w:val="24"/>
          <w:szCs w:val="24"/>
          <w:u w:val="single"/>
        </w:rPr>
      </w:pPr>
      <w:r w:rsidRPr="00EA55A6">
        <w:rPr>
          <w:rFonts w:ascii="Arial" w:hAnsi="Arial" w:cs="Arial"/>
          <w:color w:val="000000" w:themeColor="text1"/>
          <w:sz w:val="24"/>
          <w:szCs w:val="24"/>
          <w:u w:val="single"/>
        </w:rPr>
        <w:t xml:space="preserve">“Large </w:t>
      </w:r>
      <w:r w:rsidRPr="001A54B8">
        <w:rPr>
          <w:rFonts w:ascii="Arial" w:hAnsi="Arial" w:cs="Arial"/>
          <w:color w:val="000000" w:themeColor="text1"/>
          <w:sz w:val="24"/>
          <w:szCs w:val="24"/>
          <w:u w:val="single"/>
        </w:rPr>
        <w:t>Metro Counties” means counties designated as “large metro” by CMS in its published Medicare Advantage Network Adequacy Criteria, set forth in 42 CFR 422.116(c). The following counties are designated Large Metro Counties for the RY 202</w:t>
      </w:r>
      <w:r w:rsidR="00583905" w:rsidRPr="001A54B8">
        <w:rPr>
          <w:rFonts w:ascii="Arial" w:hAnsi="Arial" w:cs="Arial"/>
          <w:color w:val="000000" w:themeColor="text1"/>
          <w:sz w:val="24"/>
          <w:szCs w:val="24"/>
          <w:u w:val="single"/>
        </w:rPr>
        <w:t>5</w:t>
      </w:r>
      <w:r w:rsidRPr="001A54B8">
        <w:rPr>
          <w:rFonts w:ascii="Arial" w:hAnsi="Arial" w:cs="Arial"/>
          <w:color w:val="000000" w:themeColor="text1"/>
          <w:sz w:val="24"/>
          <w:szCs w:val="24"/>
          <w:u w:val="single"/>
        </w:rPr>
        <w:t xml:space="preserve"> standards: Alameda, Contra Costa, Los Angeles, Orange, Sacramento, San Francisco, San Mateo, and Santa Clara.</w:t>
      </w:r>
    </w:p>
    <w:p w14:paraId="681F7189" w14:textId="5373FFD1" w:rsidR="00DA5C12" w:rsidRPr="001A54B8" w:rsidRDefault="00DA5C12" w:rsidP="00977D40">
      <w:pPr>
        <w:pStyle w:val="ListParagraph"/>
        <w:numPr>
          <w:ilvl w:val="0"/>
          <w:numId w:val="17"/>
        </w:numPr>
        <w:spacing w:after="240"/>
        <w:ind w:left="1080"/>
        <w:contextualSpacing w:val="0"/>
        <w:rPr>
          <w:rFonts w:ascii="Arial" w:hAnsi="Arial" w:cs="Arial"/>
          <w:color w:val="000000" w:themeColor="text1"/>
          <w:sz w:val="24"/>
          <w:szCs w:val="24"/>
          <w:u w:val="single"/>
        </w:rPr>
      </w:pPr>
      <w:r w:rsidRPr="001A54B8">
        <w:rPr>
          <w:rFonts w:ascii="Arial" w:hAnsi="Arial" w:cs="Arial"/>
          <w:color w:val="000000" w:themeColor="text1"/>
          <w:sz w:val="24"/>
          <w:szCs w:val="24"/>
          <w:u w:val="single"/>
        </w:rPr>
        <w:t>“Metro Counties” means counties designated as “metro” by CMS in its published Medicare Advantage Network Adequacy Criteria, set forth in 42 CFR 422.116(c). The following counties are designated Metro Counties for the RY 202</w:t>
      </w:r>
      <w:r w:rsidR="00583905" w:rsidRPr="001A54B8">
        <w:rPr>
          <w:rFonts w:ascii="Arial" w:hAnsi="Arial" w:cs="Arial"/>
          <w:color w:val="000000" w:themeColor="text1"/>
          <w:sz w:val="24"/>
          <w:szCs w:val="24"/>
          <w:u w:val="single"/>
        </w:rPr>
        <w:t>5</w:t>
      </w:r>
      <w:r w:rsidRPr="001A54B8">
        <w:rPr>
          <w:rFonts w:ascii="Arial" w:hAnsi="Arial" w:cs="Arial"/>
          <w:color w:val="000000" w:themeColor="text1"/>
          <w:sz w:val="24"/>
          <w:szCs w:val="24"/>
          <w:u w:val="single"/>
        </w:rPr>
        <w:t xml:space="preserve"> standards: Butte, El Dorado, Fresno, Kern, Kings, Marin, Merced, Monterey, Napa, Nevada, Placer, Riverside, San Bernardino, San Diego, San Joaquin, San Luis Obispo, Santa Barbara, Santa Cruz, Solano, Sonoma, Stanislaus, Sutter, Tulare, Ventura, Yolo, and Yuba.</w:t>
      </w:r>
    </w:p>
    <w:p w14:paraId="1953870A" w14:textId="741059CF" w:rsidR="00DA5C12" w:rsidRPr="001A54B8" w:rsidRDefault="00DA5C12" w:rsidP="00977D40">
      <w:pPr>
        <w:pStyle w:val="ListParagraph"/>
        <w:numPr>
          <w:ilvl w:val="0"/>
          <w:numId w:val="17"/>
        </w:numPr>
        <w:spacing w:after="240"/>
        <w:ind w:left="1080"/>
        <w:contextualSpacing w:val="0"/>
        <w:rPr>
          <w:rFonts w:ascii="Arial" w:hAnsi="Arial" w:cs="Arial"/>
          <w:color w:val="000000" w:themeColor="text1"/>
          <w:sz w:val="24"/>
          <w:szCs w:val="24"/>
          <w:u w:val="single"/>
        </w:rPr>
      </w:pPr>
      <w:r w:rsidRPr="001A54B8">
        <w:rPr>
          <w:rFonts w:ascii="Arial" w:hAnsi="Arial" w:cs="Arial"/>
          <w:color w:val="000000" w:themeColor="text1"/>
          <w:sz w:val="24"/>
          <w:szCs w:val="24"/>
          <w:u w:val="single"/>
        </w:rPr>
        <w:t>“Rural Counties” means counties designated as “rural” by CMS in its published Medicare Advantage Network Adequacy Criteria, set forth in 42 CFR 422.116(c). The following counties are designated Rural Counties for</w:t>
      </w:r>
      <w:r w:rsidRPr="001A54B8">
        <w:rPr>
          <w:rFonts w:ascii="Arial" w:hAnsi="Arial" w:cs="Arial"/>
          <w:color w:val="000000" w:themeColor="text1"/>
          <w:sz w:val="24"/>
          <w:szCs w:val="24"/>
        </w:rPr>
        <w:t xml:space="preserve"> </w:t>
      </w:r>
      <w:r w:rsidRPr="001A54B8">
        <w:rPr>
          <w:rFonts w:ascii="Arial" w:hAnsi="Arial" w:cs="Arial"/>
          <w:color w:val="000000" w:themeColor="text1"/>
          <w:sz w:val="24"/>
          <w:szCs w:val="24"/>
          <w:u w:val="single"/>
        </w:rPr>
        <w:t>the RY 202</w:t>
      </w:r>
      <w:r w:rsidR="00583905" w:rsidRPr="001A54B8">
        <w:rPr>
          <w:rFonts w:ascii="Arial" w:hAnsi="Arial" w:cs="Arial"/>
          <w:color w:val="000000" w:themeColor="text1"/>
          <w:sz w:val="24"/>
          <w:szCs w:val="24"/>
          <w:u w:val="single"/>
        </w:rPr>
        <w:t>5</w:t>
      </w:r>
      <w:r w:rsidRPr="001A54B8">
        <w:rPr>
          <w:rFonts w:ascii="Arial" w:hAnsi="Arial" w:cs="Arial"/>
          <w:color w:val="000000" w:themeColor="text1"/>
          <w:sz w:val="24"/>
          <w:szCs w:val="24"/>
          <w:u w:val="single"/>
        </w:rPr>
        <w:t xml:space="preserve"> standards: Calaveras, Colusa, Del Norte, Glenn and Mariposa.</w:t>
      </w:r>
    </w:p>
    <w:p w14:paraId="34703E2F" w14:textId="1D2F0A0F" w:rsidR="00DA5C12" w:rsidRPr="001A54B8" w:rsidRDefault="00DA5C12" w:rsidP="00977D40">
      <w:pPr>
        <w:pStyle w:val="ListParagraph"/>
        <w:numPr>
          <w:ilvl w:val="0"/>
          <w:numId w:val="17"/>
        </w:numPr>
        <w:spacing w:after="240"/>
        <w:ind w:left="1080"/>
        <w:contextualSpacing w:val="0"/>
        <w:rPr>
          <w:rFonts w:ascii="Arial" w:hAnsi="Arial" w:cs="Arial"/>
          <w:color w:val="000000" w:themeColor="text1"/>
          <w:sz w:val="24"/>
          <w:szCs w:val="24"/>
          <w:u w:val="single"/>
        </w:rPr>
      </w:pPr>
      <w:r w:rsidRPr="001A54B8">
        <w:rPr>
          <w:rFonts w:ascii="Arial" w:hAnsi="Arial" w:cs="Arial"/>
          <w:color w:val="000000" w:themeColor="text1"/>
          <w:sz w:val="24"/>
          <w:szCs w:val="24"/>
          <w:u w:val="single"/>
        </w:rPr>
        <w:t>“Micro Counties” means counties designated as “micro” by CMS in its published Medicare Advantage Network Adequacy Criteria, set forth in 42 CFR 422.116(c). The following counties are designated Micro Counties for the RY 202</w:t>
      </w:r>
      <w:r w:rsidR="00583905" w:rsidRPr="001A54B8">
        <w:rPr>
          <w:rFonts w:ascii="Arial" w:hAnsi="Arial" w:cs="Arial"/>
          <w:color w:val="000000" w:themeColor="text1"/>
          <w:sz w:val="24"/>
          <w:szCs w:val="24"/>
          <w:u w:val="single"/>
        </w:rPr>
        <w:t>5</w:t>
      </w:r>
      <w:r w:rsidRPr="001A54B8">
        <w:rPr>
          <w:rFonts w:ascii="Arial" w:hAnsi="Arial" w:cs="Arial"/>
          <w:color w:val="000000" w:themeColor="text1"/>
          <w:sz w:val="24"/>
          <w:szCs w:val="24"/>
          <w:u w:val="single"/>
        </w:rPr>
        <w:t xml:space="preserve"> standards: Amador, Humboldt, Imperial, Lake, Madera, Mendocino, San Benito, Shasta, Tehama and Tuolumne.</w:t>
      </w:r>
    </w:p>
    <w:p w14:paraId="510E69B7" w14:textId="460589CA" w:rsidR="00DA5C12" w:rsidRPr="001A54B8" w:rsidRDefault="00DA5C12" w:rsidP="00977D40">
      <w:pPr>
        <w:pStyle w:val="ListParagraph"/>
        <w:numPr>
          <w:ilvl w:val="0"/>
          <w:numId w:val="17"/>
        </w:numPr>
        <w:spacing w:after="240"/>
        <w:ind w:left="1080"/>
        <w:contextualSpacing w:val="0"/>
        <w:rPr>
          <w:rStyle w:val="xnormaltextrun"/>
          <w:rFonts w:ascii="Arial" w:hAnsi="Arial" w:cs="Arial"/>
          <w:color w:val="000000" w:themeColor="text1"/>
          <w:sz w:val="24"/>
          <w:szCs w:val="24"/>
          <w:u w:val="single"/>
        </w:rPr>
      </w:pPr>
      <w:r w:rsidRPr="00EA55A6">
        <w:rPr>
          <w:rFonts w:ascii="Arial" w:hAnsi="Arial" w:cs="Arial"/>
          <w:color w:val="000000" w:themeColor="text1"/>
          <w:sz w:val="24"/>
          <w:szCs w:val="24"/>
          <w:u w:val="single"/>
        </w:rPr>
        <w:lastRenderedPageBreak/>
        <w:t xml:space="preserve">“Counties with Extreme Access Consideration (CEAC)” means counties designated as “Counties with Extreme Access </w:t>
      </w:r>
      <w:r w:rsidRPr="001A54B8">
        <w:rPr>
          <w:rFonts w:ascii="Arial" w:hAnsi="Arial" w:cs="Arial"/>
          <w:color w:val="000000" w:themeColor="text1"/>
          <w:sz w:val="24"/>
          <w:szCs w:val="24"/>
          <w:u w:val="single"/>
        </w:rPr>
        <w:t>Considerations (CEAC)” by CMS in its published Medicare Advantage Network Adequacy Criteria, set forth in 42 CFR 422.116(c). The following counties are designated CEAC Counties for the RY 202</w:t>
      </w:r>
      <w:r w:rsidR="00583905" w:rsidRPr="001A54B8">
        <w:rPr>
          <w:rFonts w:ascii="Arial" w:hAnsi="Arial" w:cs="Arial"/>
          <w:color w:val="000000" w:themeColor="text1"/>
          <w:sz w:val="24"/>
          <w:szCs w:val="24"/>
          <w:u w:val="single"/>
        </w:rPr>
        <w:t>5</w:t>
      </w:r>
      <w:r w:rsidRPr="001A54B8">
        <w:rPr>
          <w:rFonts w:ascii="Arial" w:hAnsi="Arial" w:cs="Arial"/>
          <w:color w:val="000000" w:themeColor="text1"/>
          <w:sz w:val="24"/>
          <w:szCs w:val="24"/>
          <w:u w:val="single"/>
        </w:rPr>
        <w:t xml:space="preserve"> standards: Alpine, Inyo, Lassen, Modoc, Mono, Plumas, Sierra, Siskiyou, and Trinity.</w:t>
      </w:r>
    </w:p>
    <w:p w14:paraId="30FA66C0" w14:textId="77777777" w:rsidR="00DA5C12" w:rsidRPr="00C90EEF" w:rsidRDefault="00DA5C12" w:rsidP="006B7E96">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 xml:space="preserve">“Exclusive provider” means a provider that is a </w:t>
      </w:r>
      <w:r w:rsidRPr="00C90EEF" w:rsidDel="00A80852">
        <w:rPr>
          <w:rStyle w:val="xnormaltextrun"/>
          <w:rFonts w:ascii="Arial" w:hAnsi="Arial" w:cs="Arial"/>
          <w:color w:val="000000" w:themeColor="text1"/>
          <w:sz w:val="24"/>
          <w:szCs w:val="24"/>
          <w:u w:val="single"/>
          <w:shd w:val="clear" w:color="auto" w:fill="FFFFFF"/>
        </w:rPr>
        <w:t xml:space="preserve">network </w:t>
      </w:r>
      <w:r w:rsidRPr="00C90EEF">
        <w:rPr>
          <w:rStyle w:val="xnormaltextrun"/>
          <w:rFonts w:ascii="Arial" w:hAnsi="Arial" w:cs="Arial"/>
          <w:color w:val="000000" w:themeColor="text1"/>
          <w:sz w:val="24"/>
          <w:szCs w:val="24"/>
          <w:u w:val="single"/>
          <w:shd w:val="clear" w:color="auto" w:fill="FFFFFF"/>
        </w:rPr>
        <w:t>provider for only one reporting plan for the reporting year.</w:t>
      </w:r>
    </w:p>
    <w:p w14:paraId="1144A25A" w14:textId="49A6D962" w:rsidR="00DA5C12" w:rsidRPr="00C90EEF" w:rsidRDefault="00DA5C12" w:rsidP="006B7E96">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 xml:space="preserve">“Full-time” shall have the definition set forth in </w:t>
      </w:r>
      <w:r w:rsidR="004B3C5A">
        <w:rPr>
          <w:rStyle w:val="xnormaltextrun"/>
          <w:rFonts w:ascii="Arial" w:hAnsi="Arial" w:cs="Arial"/>
          <w:color w:val="000000" w:themeColor="text1"/>
          <w:sz w:val="24"/>
          <w:szCs w:val="24"/>
          <w:u w:val="single"/>
          <w:shd w:val="clear" w:color="auto" w:fill="FFFFFF"/>
        </w:rPr>
        <w:t>Rule</w:t>
      </w:r>
      <w:r w:rsidRPr="00C90EEF">
        <w:rPr>
          <w:rStyle w:val="xnormaltextrun"/>
          <w:rFonts w:ascii="Arial" w:hAnsi="Arial" w:cs="Arial"/>
          <w:color w:val="000000" w:themeColor="text1"/>
          <w:sz w:val="24"/>
          <w:szCs w:val="24"/>
          <w:u w:val="single"/>
          <w:shd w:val="clear" w:color="auto" w:fill="FFFFFF"/>
        </w:rPr>
        <w:t xml:space="preserve"> 1300.67.2.2</w:t>
      </w:r>
      <w:r w:rsidR="0032034B">
        <w:rPr>
          <w:rStyle w:val="xnormaltextrun"/>
          <w:rFonts w:ascii="Arial" w:hAnsi="Arial" w:cs="Arial"/>
          <w:color w:val="000000" w:themeColor="text1"/>
          <w:sz w:val="24"/>
          <w:szCs w:val="24"/>
          <w:u w:val="single"/>
          <w:shd w:val="clear" w:color="auto" w:fill="FFFFFF"/>
        </w:rPr>
        <w:t>(b)</w:t>
      </w:r>
      <w:r w:rsidRPr="00C90EEF">
        <w:rPr>
          <w:rStyle w:val="xnormaltextrun"/>
          <w:rFonts w:ascii="Arial" w:hAnsi="Arial" w:cs="Arial"/>
          <w:color w:val="000000" w:themeColor="text1"/>
          <w:sz w:val="24"/>
          <w:szCs w:val="24"/>
          <w:u w:val="single"/>
          <w:shd w:val="clear" w:color="auto" w:fill="FFFFFF"/>
        </w:rPr>
        <w:t>.</w:t>
      </w:r>
    </w:p>
    <w:p w14:paraId="11151EEE" w14:textId="77777777" w:rsidR="00DA5C12" w:rsidRPr="00C90EEF" w:rsidRDefault="00DA5C12" w:rsidP="006B7E96">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“Full-Time-Equivalent” or “FTE” means a comparable approximation of the amount of time a provider is available to provide covered services to enrollees in a network service area and county.</w:t>
      </w:r>
    </w:p>
    <w:p w14:paraId="725047D5" w14:textId="77777777" w:rsidR="00DA5C12" w:rsidRPr="00C90EEF" w:rsidRDefault="00DA5C12" w:rsidP="006B7E96">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“FTE value” means a numerical value assigned to approximate the percentage of a provider’s time allocated to enrollees within the network, derived through a repeatable methodology.</w:t>
      </w:r>
    </w:p>
    <w:p w14:paraId="0CE09923" w14:textId="77777777" w:rsidR="00DA5C12" w:rsidRPr="00C90EEF" w:rsidRDefault="00DA5C12" w:rsidP="006B7E96">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C90EEF">
        <w:rPr>
          <w:rFonts w:ascii="Arial" w:hAnsi="Arial" w:cs="Arial"/>
          <w:color w:val="000000" w:themeColor="text1"/>
          <w:sz w:val="24"/>
          <w:szCs w:val="24"/>
          <w:u w:val="single"/>
        </w:rPr>
        <w:t>“Full-value count” or “full-value provider count” means a count of each individual provider, where each individual counts as one complete provider, without regard to full-time equivalent value.</w:t>
      </w:r>
    </w:p>
    <w:p w14:paraId="1F5F96C7" w14:textId="0D2721A0" w:rsidR="00DA5C12" w:rsidRPr="00C90EEF" w:rsidRDefault="00DA5C12" w:rsidP="006B7E96">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rPr>
      </w:pPr>
      <w:r w:rsidRPr="00C90EEF">
        <w:rPr>
          <w:rFonts w:ascii="Arial" w:hAnsi="Arial" w:cs="Arial"/>
          <w:color w:val="000000" w:themeColor="text1"/>
          <w:sz w:val="24"/>
          <w:szCs w:val="24"/>
          <w:u w:val="single"/>
        </w:rPr>
        <w:t xml:space="preserve">“In-person appointments on an outpatient basis” shall have the meaning set forth in </w:t>
      </w:r>
      <w:r w:rsidR="0062318E">
        <w:rPr>
          <w:rStyle w:val="xnormaltextrun"/>
          <w:rFonts w:ascii="Arial" w:hAnsi="Arial" w:cs="Arial"/>
          <w:color w:val="000000" w:themeColor="text1"/>
          <w:sz w:val="24"/>
          <w:szCs w:val="24"/>
          <w:u w:val="single"/>
          <w:shd w:val="clear" w:color="auto" w:fill="FFFFFF"/>
        </w:rPr>
        <w:t>Rule</w:t>
      </w:r>
      <w:r w:rsidRPr="00C90EEF">
        <w:rPr>
          <w:rStyle w:val="xnormaltextrun"/>
          <w:rFonts w:ascii="Arial" w:hAnsi="Arial" w:cs="Arial"/>
          <w:color w:val="000000" w:themeColor="text1"/>
          <w:sz w:val="24"/>
          <w:szCs w:val="24"/>
          <w:u w:val="single"/>
          <w:shd w:val="clear" w:color="auto" w:fill="FFFFFF"/>
        </w:rPr>
        <w:t xml:space="preserve"> 1300.67.2.2</w:t>
      </w:r>
      <w:r w:rsidR="00D027EA">
        <w:rPr>
          <w:rStyle w:val="xnormaltextrun"/>
          <w:rFonts w:ascii="Arial" w:hAnsi="Arial" w:cs="Arial"/>
          <w:color w:val="000000" w:themeColor="text1"/>
          <w:sz w:val="24"/>
          <w:szCs w:val="24"/>
          <w:u w:val="single"/>
          <w:shd w:val="clear" w:color="auto" w:fill="FFFFFF"/>
        </w:rPr>
        <w:t>(b)</w:t>
      </w:r>
      <w:r w:rsidRPr="00C90EEF">
        <w:rPr>
          <w:rStyle w:val="xnormaltextrun"/>
          <w:rFonts w:ascii="Arial" w:hAnsi="Arial" w:cs="Arial"/>
          <w:color w:val="000000" w:themeColor="text1"/>
          <w:sz w:val="24"/>
          <w:szCs w:val="24"/>
          <w:u w:val="single"/>
          <w:shd w:val="clear" w:color="auto" w:fill="FFFFFF"/>
        </w:rPr>
        <w:t>.</w:t>
      </w:r>
    </w:p>
    <w:p w14:paraId="31281993" w14:textId="77777777" w:rsidR="00DA5C12" w:rsidRPr="00C90EEF" w:rsidRDefault="00DA5C12" w:rsidP="006B7E96">
      <w:pPr>
        <w:pStyle w:val="ListParagraph"/>
        <w:numPr>
          <w:ilvl w:val="0"/>
          <w:numId w:val="24"/>
        </w:numPr>
        <w:spacing w:after="240"/>
        <w:ind w:left="1080"/>
        <w:contextualSpacing w:val="0"/>
        <w:rPr>
          <w:rStyle w:val="xnormaltextrun"/>
          <w:rFonts w:ascii="Arial" w:hAnsi="Arial" w:cs="Arial"/>
          <w:color w:val="000000" w:themeColor="text1"/>
          <w:sz w:val="24"/>
          <w:szCs w:val="24"/>
          <w:u w:val="single"/>
          <w:shd w:val="clear" w:color="auto" w:fill="FFFFFF"/>
        </w:rPr>
      </w:pPr>
      <w:r w:rsidRPr="00C90EEF">
        <w:rPr>
          <w:rFonts w:ascii="Arial" w:hAnsi="Arial" w:cs="Arial"/>
          <w:color w:val="000000" w:themeColor="text1"/>
          <w:sz w:val="24"/>
          <w:szCs w:val="24"/>
          <w:u w:val="single"/>
        </w:rPr>
        <w:t>References to “in-person” network providers shall mean network providers who take in-person appointments on an outpatient basis.</w:t>
      </w:r>
    </w:p>
    <w:p w14:paraId="6A69E89A" w14:textId="3300AE8A" w:rsidR="00DA5C12" w:rsidRPr="00C90EEF"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C90EEF">
        <w:rPr>
          <w:rFonts w:ascii="Arial" w:hAnsi="Arial" w:cs="Arial"/>
          <w:color w:val="000000" w:themeColor="text1"/>
          <w:sz w:val="24"/>
          <w:szCs w:val="24"/>
          <w:u w:val="single"/>
        </w:rPr>
        <w:t xml:space="preserve">“Network” shall </w:t>
      </w:r>
      <w:r w:rsidRPr="00C90EEF">
        <w:rPr>
          <w:rStyle w:val="xnormaltextrun"/>
          <w:rFonts w:ascii="Arial" w:hAnsi="Arial" w:cs="Arial"/>
          <w:color w:val="000000" w:themeColor="text1"/>
          <w:sz w:val="24"/>
          <w:szCs w:val="24"/>
          <w:u w:val="single"/>
          <w:shd w:val="clear" w:color="auto" w:fill="FFFFFF"/>
        </w:rPr>
        <w:t>have</w:t>
      </w:r>
      <w:r w:rsidRPr="00C90EEF">
        <w:rPr>
          <w:rFonts w:ascii="Arial" w:hAnsi="Arial" w:cs="Arial"/>
          <w:color w:val="000000" w:themeColor="text1"/>
          <w:sz w:val="24"/>
          <w:szCs w:val="24"/>
          <w:u w:val="single"/>
        </w:rPr>
        <w:t xml:space="preserve"> the definition set forth in </w:t>
      </w:r>
      <w:r w:rsidR="00D027EA">
        <w:rPr>
          <w:rStyle w:val="xnormaltextrun"/>
          <w:rFonts w:ascii="Arial" w:hAnsi="Arial" w:cs="Arial"/>
          <w:color w:val="000000" w:themeColor="text1"/>
          <w:sz w:val="24"/>
          <w:szCs w:val="24"/>
          <w:u w:val="single"/>
          <w:shd w:val="clear" w:color="auto" w:fill="FFFFFF"/>
        </w:rPr>
        <w:t>Rule</w:t>
      </w:r>
      <w:r w:rsidRPr="00C90EEF">
        <w:rPr>
          <w:rStyle w:val="xnormaltextrun"/>
          <w:rFonts w:ascii="Arial" w:hAnsi="Arial" w:cs="Arial"/>
          <w:color w:val="000000" w:themeColor="text1"/>
          <w:sz w:val="24"/>
          <w:szCs w:val="24"/>
          <w:u w:val="single"/>
          <w:shd w:val="clear" w:color="auto" w:fill="FFFFFF"/>
        </w:rPr>
        <w:t xml:space="preserve"> 1300.67.2.2(b)(5)</w:t>
      </w:r>
      <w:r w:rsidRPr="00C90EEF">
        <w:rPr>
          <w:rFonts w:ascii="Arial" w:hAnsi="Arial" w:cs="Arial"/>
          <w:color w:val="000000" w:themeColor="text1"/>
          <w:sz w:val="24"/>
          <w:szCs w:val="24"/>
          <w:u w:val="single"/>
        </w:rPr>
        <w:t>.</w:t>
      </w:r>
    </w:p>
    <w:p w14:paraId="7C0D51BB" w14:textId="2D0323FA"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961263">
        <w:rPr>
          <w:rFonts w:ascii="Arial" w:hAnsi="Arial" w:cs="Arial"/>
          <w:color w:val="000000" w:themeColor="text1"/>
          <w:sz w:val="24"/>
          <w:szCs w:val="24"/>
          <w:u w:val="single"/>
        </w:rPr>
        <w:t xml:space="preserve">“Network adequacy” shall have the definition set forth in </w:t>
      </w:r>
      <w:r w:rsidR="00D027EA">
        <w:rPr>
          <w:rStyle w:val="xnormaltextrun"/>
          <w:rFonts w:ascii="Arial" w:hAnsi="Arial" w:cs="Arial"/>
          <w:color w:val="000000" w:themeColor="text1"/>
          <w:sz w:val="24"/>
          <w:szCs w:val="24"/>
          <w:u w:val="single"/>
          <w:shd w:val="clear" w:color="auto" w:fill="FFFFFF"/>
        </w:rPr>
        <w:t>Rule</w:t>
      </w:r>
      <w:r w:rsidRPr="00961263">
        <w:rPr>
          <w:rStyle w:val="xnormaltextrun"/>
          <w:rFonts w:ascii="Arial" w:hAnsi="Arial" w:cs="Arial"/>
          <w:color w:val="000000" w:themeColor="text1"/>
          <w:sz w:val="24"/>
          <w:szCs w:val="24"/>
          <w:u w:val="single"/>
          <w:shd w:val="clear" w:color="auto" w:fill="FFFFFF"/>
        </w:rPr>
        <w:t xml:space="preserve"> 1300.67.2.2(b)(6)</w:t>
      </w:r>
      <w:r w:rsidRPr="00961263">
        <w:rPr>
          <w:rFonts w:ascii="Arial" w:hAnsi="Arial" w:cs="Arial"/>
          <w:color w:val="000000" w:themeColor="text1"/>
          <w:sz w:val="24"/>
          <w:szCs w:val="24"/>
          <w:u w:val="single"/>
        </w:rPr>
        <w:t>.</w:t>
      </w:r>
    </w:p>
    <w:p w14:paraId="26056174" w14:textId="7D819048"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961263">
        <w:rPr>
          <w:rFonts w:ascii="Arial" w:hAnsi="Arial" w:cs="Arial"/>
          <w:color w:val="000000" w:themeColor="text1"/>
          <w:sz w:val="24"/>
          <w:szCs w:val="24"/>
          <w:u w:val="single"/>
        </w:rPr>
        <w:t xml:space="preserve">“Network provider” shall have the definition set forth in </w:t>
      </w:r>
      <w:r w:rsidR="00D027EA">
        <w:rPr>
          <w:rStyle w:val="xnormaltextrun"/>
          <w:rFonts w:ascii="Arial" w:hAnsi="Arial" w:cs="Arial"/>
          <w:color w:val="000000" w:themeColor="text1"/>
          <w:sz w:val="24"/>
          <w:szCs w:val="24"/>
          <w:u w:val="single"/>
          <w:shd w:val="clear" w:color="auto" w:fill="FFFFFF"/>
        </w:rPr>
        <w:t>Rule</w:t>
      </w:r>
      <w:r w:rsidRPr="00961263">
        <w:rPr>
          <w:rStyle w:val="xnormaltextrun"/>
          <w:rFonts w:ascii="Arial" w:hAnsi="Arial" w:cs="Arial"/>
          <w:color w:val="000000" w:themeColor="text1"/>
          <w:sz w:val="24"/>
          <w:szCs w:val="24"/>
          <w:u w:val="single"/>
          <w:shd w:val="clear" w:color="auto" w:fill="FFFFFF"/>
        </w:rPr>
        <w:t xml:space="preserve"> </w:t>
      </w:r>
      <w:r w:rsidRPr="00961263">
        <w:rPr>
          <w:rFonts w:ascii="Arial" w:hAnsi="Arial" w:cs="Arial"/>
          <w:color w:val="000000" w:themeColor="text1"/>
          <w:sz w:val="24"/>
          <w:szCs w:val="24"/>
          <w:u w:val="single"/>
        </w:rPr>
        <w:t>1300.67.2.2(b)(10).</w:t>
      </w:r>
    </w:p>
    <w:p w14:paraId="377875FC" w14:textId="40AB5526" w:rsidR="00DA5C12" w:rsidRPr="00961263"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rPr>
      </w:pPr>
      <w:r w:rsidRPr="00961263">
        <w:rPr>
          <w:rFonts w:ascii="Arial" w:hAnsi="Arial" w:cs="Arial"/>
          <w:color w:val="000000" w:themeColor="text1"/>
          <w:sz w:val="24"/>
          <w:szCs w:val="24"/>
          <w:u w:val="single"/>
        </w:rPr>
        <w:t xml:space="preserve">“Network service area” shall have the definition set forth in </w:t>
      </w:r>
      <w:r w:rsidR="00D027EA">
        <w:rPr>
          <w:rStyle w:val="xnormaltextrun"/>
          <w:rFonts w:ascii="Arial" w:hAnsi="Arial" w:cs="Arial"/>
          <w:color w:val="000000" w:themeColor="text1"/>
          <w:sz w:val="24"/>
          <w:szCs w:val="24"/>
          <w:u w:val="single"/>
          <w:shd w:val="clear" w:color="auto" w:fill="FFFFFF"/>
        </w:rPr>
        <w:t>Rule</w:t>
      </w:r>
      <w:r w:rsidRPr="00961263">
        <w:rPr>
          <w:rStyle w:val="xnormaltextrun"/>
          <w:rFonts w:ascii="Arial" w:hAnsi="Arial" w:cs="Arial"/>
          <w:color w:val="000000" w:themeColor="text1"/>
          <w:sz w:val="24"/>
          <w:szCs w:val="24"/>
          <w:u w:val="single"/>
          <w:shd w:val="clear" w:color="auto" w:fill="FFFFFF"/>
        </w:rPr>
        <w:t xml:space="preserve"> 1300.67.2.2(b)(11)</w:t>
      </w:r>
      <w:r w:rsidRPr="00961263">
        <w:rPr>
          <w:rFonts w:ascii="Arial" w:hAnsi="Arial" w:cs="Arial"/>
          <w:color w:val="000000" w:themeColor="text1"/>
          <w:sz w:val="24"/>
          <w:szCs w:val="24"/>
          <w:u w:val="single"/>
        </w:rPr>
        <w:t>.</w:t>
      </w:r>
    </w:p>
    <w:p w14:paraId="23530C08" w14:textId="3141C13B"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shd w:val="clear" w:color="auto" w:fill="FFFFFF"/>
        </w:rPr>
      </w:pPr>
      <w:r w:rsidRPr="00961263">
        <w:rPr>
          <w:rStyle w:val="xnormaltextrun"/>
          <w:rFonts w:ascii="Arial" w:hAnsi="Arial" w:cs="Arial"/>
          <w:color w:val="000000" w:themeColor="text1"/>
          <w:sz w:val="24"/>
          <w:szCs w:val="24"/>
          <w:u w:val="single"/>
          <w:shd w:val="clear" w:color="auto" w:fill="FFFFFF"/>
        </w:rPr>
        <w:t xml:space="preserve">“Part-time” shall have the definition set forth in </w:t>
      </w:r>
      <w:r w:rsidR="00D027EA">
        <w:rPr>
          <w:rStyle w:val="xnormaltextrun"/>
          <w:rFonts w:ascii="Arial" w:hAnsi="Arial" w:cs="Arial"/>
          <w:color w:val="000000" w:themeColor="text1"/>
          <w:sz w:val="24"/>
          <w:szCs w:val="24"/>
          <w:u w:val="single"/>
          <w:shd w:val="clear" w:color="auto" w:fill="FFFFFF"/>
        </w:rPr>
        <w:t>Rule</w:t>
      </w:r>
      <w:r w:rsidRPr="00961263">
        <w:rPr>
          <w:rStyle w:val="xnormaltextrun"/>
          <w:rFonts w:ascii="Arial" w:hAnsi="Arial" w:cs="Arial"/>
          <w:color w:val="000000" w:themeColor="text1"/>
          <w:sz w:val="24"/>
          <w:szCs w:val="24"/>
          <w:u w:val="single"/>
          <w:shd w:val="clear" w:color="auto" w:fill="FFFFFF"/>
        </w:rPr>
        <w:t xml:space="preserve"> 1300.67.2.2.</w:t>
      </w:r>
    </w:p>
    <w:p w14:paraId="44014D52" w14:textId="6B229468" w:rsidR="00DA5C12" w:rsidRPr="00961263"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961263">
        <w:rPr>
          <w:rFonts w:ascii="Arial" w:hAnsi="Arial" w:cs="Arial"/>
          <w:color w:val="000000" w:themeColor="text1"/>
          <w:sz w:val="24"/>
          <w:szCs w:val="24"/>
          <w:u w:val="single"/>
        </w:rPr>
        <w:t xml:space="preserve">“Practice address” or “practice location” shall have the definition set forth </w:t>
      </w:r>
      <w:r w:rsidRPr="00961263">
        <w:rPr>
          <w:rStyle w:val="xnormaltextrun"/>
          <w:rFonts w:ascii="Arial" w:hAnsi="Arial" w:cs="Arial"/>
          <w:color w:val="000000" w:themeColor="text1"/>
          <w:sz w:val="24"/>
          <w:szCs w:val="24"/>
          <w:u w:val="single"/>
          <w:shd w:val="clear" w:color="auto" w:fill="FFFFFF"/>
        </w:rPr>
        <w:t xml:space="preserve">in </w:t>
      </w:r>
      <w:r w:rsidR="00B119D6">
        <w:rPr>
          <w:rStyle w:val="xnormaltextrun"/>
          <w:rFonts w:ascii="Arial" w:hAnsi="Arial" w:cs="Arial"/>
          <w:color w:val="000000" w:themeColor="text1"/>
          <w:sz w:val="24"/>
          <w:szCs w:val="24"/>
          <w:u w:val="single"/>
          <w:shd w:val="clear" w:color="auto" w:fill="FFFFFF"/>
        </w:rPr>
        <w:t>Rule</w:t>
      </w:r>
      <w:r w:rsidRPr="00961263">
        <w:rPr>
          <w:rStyle w:val="xnormaltextrun"/>
          <w:rFonts w:ascii="Arial" w:hAnsi="Arial" w:cs="Arial"/>
          <w:color w:val="000000" w:themeColor="text1"/>
          <w:sz w:val="24"/>
          <w:szCs w:val="24"/>
          <w:u w:val="single"/>
          <w:shd w:val="clear" w:color="auto" w:fill="FFFFFF"/>
        </w:rPr>
        <w:t xml:space="preserve"> 1300.67.2.2.</w:t>
      </w:r>
    </w:p>
    <w:p w14:paraId="01002865" w14:textId="7E47E564" w:rsidR="00DA5C12"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961263">
        <w:rPr>
          <w:rStyle w:val="xnormaltextrun"/>
          <w:rFonts w:ascii="Arial" w:hAnsi="Arial" w:cs="Arial"/>
          <w:color w:val="000000" w:themeColor="text1"/>
          <w:sz w:val="24"/>
          <w:szCs w:val="24"/>
          <w:u w:val="single"/>
          <w:shd w:val="clear" w:color="auto" w:fill="FFFFFF"/>
        </w:rPr>
        <w:t>“Reporting plan” shall have the definition</w:t>
      </w:r>
      <w:r w:rsidRPr="00961263">
        <w:rPr>
          <w:rFonts w:ascii="Arial" w:hAnsi="Arial" w:cs="Arial"/>
          <w:color w:val="000000" w:themeColor="text1"/>
          <w:sz w:val="24"/>
          <w:szCs w:val="24"/>
          <w:u w:val="single"/>
          <w:shd w:val="clear" w:color="auto" w:fill="FFFFFF"/>
        </w:rPr>
        <w:t xml:space="preserve"> </w:t>
      </w:r>
      <w:r w:rsidRPr="00961263">
        <w:rPr>
          <w:rStyle w:val="xnormaltextrun"/>
          <w:rFonts w:ascii="Arial" w:hAnsi="Arial" w:cs="Arial"/>
          <w:color w:val="000000" w:themeColor="text1"/>
          <w:sz w:val="24"/>
          <w:szCs w:val="24"/>
          <w:u w:val="single"/>
          <w:shd w:val="clear" w:color="auto" w:fill="FFFFFF"/>
        </w:rPr>
        <w:t xml:space="preserve">set forth in </w:t>
      </w:r>
      <w:r w:rsidR="00E62111">
        <w:rPr>
          <w:rStyle w:val="xnormaltextrun"/>
          <w:rFonts w:ascii="Arial" w:hAnsi="Arial" w:cs="Arial"/>
          <w:color w:val="000000" w:themeColor="text1"/>
          <w:sz w:val="24"/>
          <w:szCs w:val="24"/>
          <w:u w:val="single"/>
          <w:shd w:val="clear" w:color="auto" w:fill="FFFFFF"/>
        </w:rPr>
        <w:t>Rule</w:t>
      </w:r>
      <w:r w:rsidRPr="00961263">
        <w:rPr>
          <w:rStyle w:val="xnormaltextrun"/>
          <w:rFonts w:ascii="Arial" w:hAnsi="Arial" w:cs="Arial"/>
          <w:color w:val="000000" w:themeColor="text1"/>
          <w:sz w:val="24"/>
          <w:szCs w:val="24"/>
          <w:u w:val="single"/>
          <w:shd w:val="clear" w:color="auto" w:fill="FFFFFF"/>
        </w:rPr>
        <w:t xml:space="preserve"> 1300.67.2.2.</w:t>
      </w:r>
    </w:p>
    <w:p w14:paraId="4E3204DB" w14:textId="0D50205D" w:rsidR="005A465F" w:rsidRPr="004A7A7C" w:rsidRDefault="004A7A7C" w:rsidP="006B7E96">
      <w:pPr>
        <w:pStyle w:val="ListParagraph"/>
        <w:numPr>
          <w:ilvl w:val="0"/>
          <w:numId w:val="4"/>
        </w:numPr>
        <w:spacing w:after="240" w:line="259" w:lineRule="auto"/>
        <w:ind w:left="720"/>
        <w:contextualSpacing w:val="0"/>
        <w:rPr>
          <w:rStyle w:val="xnormaltextrun"/>
          <w:rFonts w:ascii="Arial" w:hAnsi="Arial" w:cs="Arial"/>
          <w:sz w:val="24"/>
          <w:szCs w:val="24"/>
          <w:u w:val="single"/>
        </w:rPr>
      </w:pPr>
      <w:r w:rsidRPr="0060060E">
        <w:rPr>
          <w:rStyle w:val="xnormaltextrun"/>
          <w:rFonts w:ascii="Arial" w:hAnsi="Arial" w:cs="Arial"/>
          <w:sz w:val="24"/>
          <w:szCs w:val="24"/>
          <w:u w:val="single"/>
          <w:shd w:val="clear" w:color="auto" w:fill="FFFFFF"/>
        </w:rPr>
        <w:lastRenderedPageBreak/>
        <w:t>“</w:t>
      </w:r>
      <w:r w:rsidR="005A465F" w:rsidRPr="0060060E">
        <w:rPr>
          <w:rStyle w:val="xnormaltextrun"/>
          <w:rFonts w:ascii="Arial" w:hAnsi="Arial" w:cs="Arial"/>
          <w:sz w:val="24"/>
          <w:szCs w:val="24"/>
          <w:u w:val="single"/>
          <w:shd w:val="clear" w:color="auto" w:fill="FFFFFF"/>
        </w:rPr>
        <w:t>Specialist Physician</w:t>
      </w:r>
      <w:r w:rsidR="005A465F" w:rsidRPr="000549E8">
        <w:rPr>
          <w:rStyle w:val="xnormaltextrun"/>
          <w:rFonts w:ascii="Arial" w:hAnsi="Arial" w:cs="Arial"/>
          <w:sz w:val="24"/>
          <w:szCs w:val="24"/>
          <w:u w:val="single"/>
          <w:shd w:val="clear" w:color="auto" w:fill="FFFFFF"/>
        </w:rPr>
        <w:t xml:space="preserve"> Type</w:t>
      </w:r>
      <w:r w:rsidRPr="000549E8">
        <w:rPr>
          <w:rStyle w:val="xnormaltextrun"/>
          <w:rFonts w:ascii="Arial" w:hAnsi="Arial" w:cs="Arial"/>
          <w:sz w:val="24"/>
          <w:szCs w:val="24"/>
          <w:u w:val="single"/>
          <w:shd w:val="clear" w:color="auto" w:fill="FFFFFF"/>
        </w:rPr>
        <w:t>”</w:t>
      </w:r>
      <w:r w:rsidR="005A465F" w:rsidRPr="000549E8">
        <w:rPr>
          <w:rStyle w:val="xnormaltextrun"/>
          <w:rFonts w:ascii="Arial" w:hAnsi="Arial" w:cs="Arial"/>
          <w:sz w:val="24"/>
          <w:szCs w:val="24"/>
          <w:u w:val="single"/>
          <w:shd w:val="clear" w:color="auto" w:fill="FFFFFF"/>
        </w:rPr>
        <w:t xml:space="preserve"> means the</w:t>
      </w:r>
      <w:r w:rsidR="005A465F" w:rsidRPr="004A7A7C">
        <w:rPr>
          <w:rStyle w:val="xnormaltextrun"/>
          <w:rFonts w:ascii="Arial" w:hAnsi="Arial" w:cs="Arial"/>
          <w:sz w:val="24"/>
          <w:szCs w:val="24"/>
          <w:u w:val="single"/>
          <w:shd w:val="clear" w:color="auto" w:fill="FFFFFF"/>
        </w:rPr>
        <w:t xml:space="preserve"> type of physician or physicians </w:t>
      </w:r>
      <w:r w:rsidR="00803929">
        <w:rPr>
          <w:rStyle w:val="xnormaltextrun"/>
          <w:rFonts w:ascii="Arial" w:hAnsi="Arial" w:cs="Arial"/>
          <w:sz w:val="24"/>
          <w:szCs w:val="24"/>
          <w:u w:val="single"/>
          <w:shd w:val="clear" w:color="auto" w:fill="FFFFFF"/>
        </w:rPr>
        <w:t>with t</w:t>
      </w:r>
      <w:r w:rsidR="002100AA">
        <w:rPr>
          <w:rStyle w:val="xnormaltextrun"/>
          <w:rFonts w:ascii="Arial" w:hAnsi="Arial" w:cs="Arial"/>
          <w:sz w:val="24"/>
          <w:szCs w:val="24"/>
          <w:u w:val="single"/>
          <w:shd w:val="clear" w:color="auto" w:fill="FFFFFF"/>
        </w:rPr>
        <w:t>h</w:t>
      </w:r>
      <w:r w:rsidR="00803929">
        <w:rPr>
          <w:rStyle w:val="xnormaltextrun"/>
          <w:rFonts w:ascii="Arial" w:hAnsi="Arial" w:cs="Arial"/>
          <w:sz w:val="24"/>
          <w:szCs w:val="24"/>
          <w:u w:val="single"/>
          <w:shd w:val="clear" w:color="auto" w:fill="FFFFFF"/>
        </w:rPr>
        <w:t>e specialt</w:t>
      </w:r>
      <w:r w:rsidR="00995CD1">
        <w:rPr>
          <w:rStyle w:val="xnormaltextrun"/>
          <w:rFonts w:ascii="Arial" w:hAnsi="Arial" w:cs="Arial"/>
          <w:sz w:val="24"/>
          <w:szCs w:val="24"/>
          <w:u w:val="single"/>
          <w:shd w:val="clear" w:color="auto" w:fill="FFFFFF"/>
        </w:rPr>
        <w:t>y</w:t>
      </w:r>
      <w:r w:rsidR="00803929">
        <w:rPr>
          <w:rStyle w:val="xnormaltextrun"/>
          <w:rFonts w:ascii="Arial" w:hAnsi="Arial" w:cs="Arial"/>
          <w:sz w:val="24"/>
          <w:szCs w:val="24"/>
          <w:u w:val="single"/>
          <w:shd w:val="clear" w:color="auto" w:fill="FFFFFF"/>
        </w:rPr>
        <w:t xml:space="preserve"> </w:t>
      </w:r>
      <w:r w:rsidR="005A465F" w:rsidRPr="004A7A7C">
        <w:rPr>
          <w:rFonts w:ascii="Arial" w:hAnsi="Arial" w:cs="Arial"/>
          <w:sz w:val="24"/>
          <w:szCs w:val="24"/>
          <w:u w:val="single"/>
        </w:rPr>
        <w:t xml:space="preserve">identified in the plan’s data reported to the DMHC. </w:t>
      </w:r>
      <w:r w:rsidR="005A465F" w:rsidRPr="004A7A7C">
        <w:rPr>
          <w:rStyle w:val="xnormaltextrun"/>
          <w:rFonts w:ascii="Arial" w:hAnsi="Arial" w:cs="Arial"/>
          <w:sz w:val="24"/>
          <w:szCs w:val="24"/>
          <w:u w:val="single"/>
          <w:shd w:val="clear" w:color="auto" w:fill="FFFFFF"/>
        </w:rPr>
        <w:t xml:space="preserve">For purposes of application of this standard, the </w:t>
      </w:r>
      <w:r w:rsidR="005A465F" w:rsidRPr="004A7A7C">
        <w:rPr>
          <w:rFonts w:ascii="Arial" w:hAnsi="Arial" w:cs="Arial"/>
          <w:sz w:val="24"/>
          <w:szCs w:val="24"/>
          <w:u w:val="single"/>
        </w:rPr>
        <w:t>provider</w:t>
      </w:r>
      <w:r w:rsidR="005A465F" w:rsidRPr="004A7A7C">
        <w:rPr>
          <w:rStyle w:val="xnormaltextrun"/>
          <w:rFonts w:ascii="Arial" w:hAnsi="Arial" w:cs="Arial"/>
          <w:sz w:val="24"/>
          <w:szCs w:val="24"/>
          <w:u w:val="single"/>
          <w:shd w:val="clear" w:color="auto" w:fill="FFFFFF"/>
        </w:rPr>
        <w:t xml:space="preserve"> must meet the definition of network provider and be appropriately reported consistent with health plan credentialing and physician specialty and subspecialty designations recognized by the American Board of Medical Specialties (ABMS) and the Knox-Keene Act. For those specialty types for which the ABMS is not applicable, the specialty designation shall be based on areas of specialization available through the appropriate licensing board, as applicable.</w:t>
      </w:r>
      <w:r w:rsidR="005A465F" w:rsidRPr="004A7A7C">
        <w:rPr>
          <w:rStyle w:val="FootnoteReference"/>
          <w:rFonts w:ascii="Arial" w:hAnsi="Arial"/>
          <w:sz w:val="24"/>
          <w:szCs w:val="24"/>
          <w:u w:val="single"/>
          <w:shd w:val="clear" w:color="auto" w:fill="FFFFFF"/>
        </w:rPr>
        <w:footnoteReference w:id="7"/>
      </w:r>
      <w:r w:rsidR="005A465F" w:rsidRPr="004A7A7C">
        <w:rPr>
          <w:rStyle w:val="xnormaltextrun"/>
          <w:rFonts w:ascii="Arial" w:hAnsi="Arial" w:cs="Arial"/>
          <w:sz w:val="24"/>
          <w:szCs w:val="24"/>
          <w:u w:val="single"/>
          <w:shd w:val="clear" w:color="auto" w:fill="FFFFFF"/>
        </w:rPr>
        <w:t xml:space="preserve"> Specialist physician types measured for this standard include the following:</w:t>
      </w:r>
    </w:p>
    <w:p w14:paraId="4EE54EBB" w14:textId="77777777" w:rsidR="00515E6B" w:rsidRPr="00BE5B64"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rPr>
      </w:pPr>
      <w:r w:rsidRPr="00BE5B64">
        <w:rPr>
          <w:rStyle w:val="xnormaltextrun"/>
          <w:rFonts w:ascii="Arial" w:hAnsi="Arial" w:cs="Arial"/>
          <w:sz w:val="24"/>
          <w:szCs w:val="24"/>
          <w:u w:val="single"/>
          <w:shd w:val="clear" w:color="auto" w:fill="FFFFFF"/>
        </w:rPr>
        <w:t>Allergy/Immunology means a physician reported as the following specialist physician type:</w:t>
      </w:r>
      <w:r w:rsidRPr="00BE5B64">
        <w:rPr>
          <w:rFonts w:ascii="Arial" w:hAnsi="Arial" w:cs="Arial"/>
          <w:sz w:val="24"/>
          <w:szCs w:val="24"/>
          <w:u w:val="single"/>
        </w:rPr>
        <w:t xml:space="preserve"> allergy/immunology.</w:t>
      </w:r>
    </w:p>
    <w:p w14:paraId="4E0A4E46" w14:textId="77777777" w:rsidR="00515E6B" w:rsidRPr="00BE5B64"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rPr>
      </w:pPr>
      <w:r w:rsidRPr="00BE5B64">
        <w:rPr>
          <w:rStyle w:val="xnormaltextrun"/>
          <w:rFonts w:ascii="Arial" w:hAnsi="Arial" w:cs="Arial"/>
          <w:sz w:val="24"/>
          <w:szCs w:val="24"/>
          <w:u w:val="single"/>
          <w:shd w:val="clear" w:color="auto" w:fill="FFFFFF"/>
        </w:rPr>
        <w:t xml:space="preserve">Cardiovascular Disease means a physician reported as one of the following specialist physician types: </w:t>
      </w:r>
      <w:r w:rsidRPr="00BE5B64">
        <w:rPr>
          <w:rFonts w:ascii="Arial" w:hAnsi="Arial" w:cs="Arial"/>
          <w:sz w:val="24"/>
          <w:szCs w:val="24"/>
          <w:u w:val="single"/>
        </w:rPr>
        <w:t>cardiovascular disease or pediatric cardiology.</w:t>
      </w:r>
    </w:p>
    <w:p w14:paraId="7C69B44F" w14:textId="55F651A5" w:rsidR="00515E6B" w:rsidRPr="00BE5B64" w:rsidRDefault="00515E6B" w:rsidP="006B7E96">
      <w:pPr>
        <w:pStyle w:val="ListParagraph"/>
        <w:numPr>
          <w:ilvl w:val="1"/>
          <w:numId w:val="2"/>
        </w:numPr>
        <w:autoSpaceDE w:val="0"/>
        <w:autoSpaceDN w:val="0"/>
        <w:adjustRightInd w:val="0"/>
        <w:spacing w:after="240"/>
        <w:ind w:left="1080"/>
        <w:contextualSpacing w:val="0"/>
        <w:rPr>
          <w:rFonts w:ascii="Arial" w:hAnsi="Arial" w:cs="Arial"/>
          <w:sz w:val="24"/>
          <w:szCs w:val="24"/>
          <w:u w:val="single"/>
        </w:rPr>
      </w:pPr>
      <w:r w:rsidRPr="00BE5B64">
        <w:rPr>
          <w:rStyle w:val="xnormaltextrun"/>
          <w:rFonts w:ascii="Arial" w:hAnsi="Arial" w:cs="Arial"/>
          <w:sz w:val="24"/>
          <w:szCs w:val="24"/>
          <w:u w:val="single"/>
          <w:shd w:val="clear" w:color="auto" w:fill="FFFFFF"/>
        </w:rPr>
        <w:t>Dermatology means a physician reported as one of the following specialist physician types: d</w:t>
      </w:r>
      <w:r w:rsidRPr="00BE5B64">
        <w:rPr>
          <w:rFonts w:ascii="Arial" w:hAnsi="Arial" w:cs="Arial"/>
          <w:sz w:val="24"/>
          <w:szCs w:val="24"/>
          <w:u w:val="single"/>
        </w:rPr>
        <w:t>ermatology or pediatric dermatology.</w:t>
      </w:r>
    </w:p>
    <w:p w14:paraId="7E373594" w14:textId="77777777" w:rsidR="00515E6B" w:rsidRPr="009D3A85"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BE5B64">
        <w:rPr>
          <w:rStyle w:val="xnormaltextrun"/>
          <w:rFonts w:ascii="Arial" w:hAnsi="Arial" w:cs="Arial"/>
          <w:sz w:val="24"/>
          <w:szCs w:val="24"/>
          <w:u w:val="single"/>
          <w:shd w:val="clear" w:color="auto" w:fill="FFFFFF"/>
        </w:rPr>
        <w:t>Endocrinology means a physician reported as one of the following specialist physician types: e</w:t>
      </w:r>
      <w:r w:rsidRPr="009D3A85">
        <w:rPr>
          <w:rStyle w:val="xnormaltextrun"/>
          <w:rFonts w:ascii="Arial" w:hAnsi="Arial" w:cs="Arial"/>
          <w:sz w:val="24"/>
          <w:szCs w:val="24"/>
          <w:u w:val="single"/>
          <w:shd w:val="clear" w:color="auto" w:fill="FFFFFF"/>
        </w:rPr>
        <w:t>ndocrinology or pediatric endocrinology.</w:t>
      </w:r>
    </w:p>
    <w:p w14:paraId="270F6AC6" w14:textId="77777777" w:rsidR="00515E6B" w:rsidRPr="009D3A85"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BE5B64">
        <w:rPr>
          <w:rStyle w:val="xnormaltextrun"/>
          <w:rFonts w:ascii="Arial" w:hAnsi="Arial" w:cs="Arial"/>
          <w:sz w:val="24"/>
          <w:szCs w:val="24"/>
          <w:u w:val="single"/>
          <w:shd w:val="clear" w:color="auto" w:fill="FFFFFF"/>
        </w:rPr>
        <w:t>Gastroenterology means a physician reported as one of the following specialist physician types: g</w:t>
      </w:r>
      <w:r w:rsidRPr="009D3A85">
        <w:rPr>
          <w:rStyle w:val="xnormaltextrun"/>
          <w:rFonts w:ascii="Arial" w:hAnsi="Arial" w:cs="Arial"/>
          <w:sz w:val="24"/>
          <w:szCs w:val="24"/>
          <w:u w:val="single"/>
          <w:shd w:val="clear" w:color="auto" w:fill="FFFFFF"/>
        </w:rPr>
        <w:t>astroenterology or pediatric gastroenterology.</w:t>
      </w:r>
    </w:p>
    <w:p w14:paraId="157FF916" w14:textId="01BCC43F" w:rsidR="00515E6B" w:rsidRPr="009D3A85"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BE5B64">
        <w:rPr>
          <w:rStyle w:val="xnormaltextrun"/>
          <w:rFonts w:ascii="Arial" w:hAnsi="Arial" w:cs="Arial"/>
          <w:sz w:val="24"/>
          <w:szCs w:val="24"/>
          <w:u w:val="single"/>
          <w:shd w:val="clear" w:color="auto" w:fill="FFFFFF"/>
        </w:rPr>
        <w:t>Hematology means a physician reported as one of the following specialist physician type</w:t>
      </w:r>
      <w:r w:rsidR="002E49CD">
        <w:rPr>
          <w:rStyle w:val="xnormaltextrun"/>
          <w:rFonts w:ascii="Arial" w:hAnsi="Arial" w:cs="Arial"/>
          <w:sz w:val="24"/>
          <w:szCs w:val="24"/>
          <w:u w:val="single"/>
          <w:shd w:val="clear" w:color="auto" w:fill="FFFFFF"/>
        </w:rPr>
        <w:t>s</w:t>
      </w:r>
      <w:r w:rsidRPr="00BE5B64">
        <w:rPr>
          <w:rStyle w:val="xnormaltextrun"/>
          <w:rFonts w:ascii="Arial" w:hAnsi="Arial" w:cs="Arial"/>
          <w:sz w:val="24"/>
          <w:szCs w:val="24"/>
          <w:u w:val="single"/>
          <w:shd w:val="clear" w:color="auto" w:fill="FFFFFF"/>
        </w:rPr>
        <w:t>: hematology or pediatric hematology/oncology.</w:t>
      </w:r>
    </w:p>
    <w:p w14:paraId="69837B95" w14:textId="65A71A2E" w:rsidR="00515E6B" w:rsidRPr="009D3A85"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BE5B64">
        <w:rPr>
          <w:rStyle w:val="xnormaltextrun"/>
          <w:rFonts w:ascii="Arial" w:hAnsi="Arial" w:cs="Arial"/>
          <w:sz w:val="24"/>
          <w:szCs w:val="24"/>
          <w:u w:val="single"/>
          <w:shd w:val="clear" w:color="auto" w:fill="FFFFFF"/>
        </w:rPr>
        <w:t>Nephrology means a physician reported as one of the following specialist physician type</w:t>
      </w:r>
      <w:r w:rsidR="002E49CD">
        <w:rPr>
          <w:rStyle w:val="xnormaltextrun"/>
          <w:rFonts w:ascii="Arial" w:hAnsi="Arial" w:cs="Arial"/>
          <w:sz w:val="24"/>
          <w:szCs w:val="24"/>
          <w:u w:val="single"/>
          <w:shd w:val="clear" w:color="auto" w:fill="FFFFFF"/>
        </w:rPr>
        <w:t>s</w:t>
      </w:r>
      <w:r w:rsidRPr="00BE5B64">
        <w:rPr>
          <w:rStyle w:val="xnormaltextrun"/>
          <w:rFonts w:ascii="Arial" w:hAnsi="Arial" w:cs="Arial"/>
          <w:sz w:val="24"/>
          <w:szCs w:val="24"/>
          <w:u w:val="single"/>
          <w:shd w:val="clear" w:color="auto" w:fill="FFFFFF"/>
        </w:rPr>
        <w:t>: nephrology or pediatric nephrology.</w:t>
      </w:r>
    </w:p>
    <w:p w14:paraId="742904FA" w14:textId="56A43E7C" w:rsidR="00515E6B" w:rsidRPr="009D3A85"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BE5B64">
        <w:rPr>
          <w:rStyle w:val="xnormaltextrun"/>
          <w:rFonts w:ascii="Arial" w:hAnsi="Arial" w:cs="Arial"/>
          <w:sz w:val="24"/>
          <w:szCs w:val="24"/>
          <w:u w:val="single"/>
          <w:shd w:val="clear" w:color="auto" w:fill="FFFFFF"/>
        </w:rPr>
        <w:t xml:space="preserve">Neurology means a physician reported as one of the following specialist physician types: </w:t>
      </w:r>
      <w:r w:rsidRPr="009D3A85">
        <w:rPr>
          <w:rStyle w:val="xnormaltextrun"/>
          <w:rFonts w:ascii="Arial" w:hAnsi="Arial" w:cs="Arial"/>
          <w:sz w:val="24"/>
          <w:szCs w:val="24"/>
          <w:u w:val="single"/>
          <w:shd w:val="clear" w:color="auto" w:fill="FFFFFF"/>
        </w:rPr>
        <w:t>neurology, epilepsy, or pediatric neurology.</w:t>
      </w:r>
    </w:p>
    <w:p w14:paraId="64B0E2B4" w14:textId="77777777" w:rsidR="00515E6B" w:rsidRPr="009D3A85"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BE5B64">
        <w:rPr>
          <w:rStyle w:val="xnormaltextrun"/>
          <w:rFonts w:ascii="Arial" w:hAnsi="Arial" w:cs="Arial"/>
          <w:sz w:val="24"/>
          <w:szCs w:val="24"/>
          <w:u w:val="single"/>
          <w:shd w:val="clear" w:color="auto" w:fill="FFFFFF"/>
        </w:rPr>
        <w:t xml:space="preserve">Obstetrics/Gynecology means a physician reported as the following specialist physician type: </w:t>
      </w:r>
      <w:r w:rsidRPr="009D3A85">
        <w:rPr>
          <w:rStyle w:val="xnormaltextrun"/>
          <w:rFonts w:ascii="Arial" w:hAnsi="Arial" w:cs="Arial"/>
          <w:sz w:val="24"/>
          <w:szCs w:val="24"/>
          <w:u w:val="single"/>
          <w:shd w:val="clear" w:color="auto" w:fill="FFFFFF"/>
        </w:rPr>
        <w:t>obstetrics/gynecology.</w:t>
      </w:r>
    </w:p>
    <w:p w14:paraId="70F60534"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Oncology means a physician reported as one of the following specialist physician types: o</w:t>
      </w:r>
      <w:r w:rsidRPr="00784BEA">
        <w:rPr>
          <w:rStyle w:val="xnormaltextrun"/>
          <w:rFonts w:ascii="Arial" w:hAnsi="Arial" w:cs="Arial"/>
          <w:sz w:val="24"/>
          <w:szCs w:val="24"/>
          <w:u w:val="single"/>
          <w:shd w:val="clear" w:color="auto" w:fill="FFFFFF"/>
        </w:rPr>
        <w:t>ncology or pediatric hematology/oncology.</w:t>
      </w:r>
    </w:p>
    <w:p w14:paraId="293298B9" w14:textId="7D0A25AA"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lastRenderedPageBreak/>
        <w:t>Ophthalmology means a physician reported as the following specialist physician type: o</w:t>
      </w:r>
      <w:r w:rsidRPr="00784BEA">
        <w:rPr>
          <w:rStyle w:val="xnormaltextrun"/>
          <w:rFonts w:ascii="Arial" w:hAnsi="Arial" w:cs="Arial"/>
          <w:sz w:val="24"/>
          <w:szCs w:val="24"/>
          <w:u w:val="single"/>
          <w:shd w:val="clear" w:color="auto" w:fill="FFFFFF"/>
        </w:rPr>
        <w:t>phthalmology.</w:t>
      </w:r>
    </w:p>
    <w:p w14:paraId="1519BC5D"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 xml:space="preserve">Otolaryngology means a physician reported as one of the following specialist physician types: </w:t>
      </w:r>
      <w:r w:rsidRPr="00784BEA">
        <w:rPr>
          <w:rStyle w:val="xnormaltextrun"/>
          <w:rFonts w:ascii="Arial" w:hAnsi="Arial" w:cs="Arial"/>
          <w:sz w:val="24"/>
          <w:szCs w:val="24"/>
          <w:u w:val="single"/>
          <w:shd w:val="clear" w:color="auto" w:fill="FFFFFF"/>
        </w:rPr>
        <w:t>otolaryngology or pediatric otolaryngology.</w:t>
      </w:r>
    </w:p>
    <w:p w14:paraId="175BF662"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Pain Medicine means a physician reported as the following specialist physician type:</w:t>
      </w:r>
      <w:r w:rsidRPr="00784BEA">
        <w:rPr>
          <w:rStyle w:val="xnormaltextrun"/>
          <w:rFonts w:ascii="Arial" w:hAnsi="Arial" w:cs="Arial"/>
          <w:sz w:val="24"/>
          <w:szCs w:val="24"/>
          <w:u w:val="single"/>
          <w:shd w:val="clear" w:color="auto" w:fill="FFFFFF"/>
        </w:rPr>
        <w:t xml:space="preserve"> pain medicine.</w:t>
      </w:r>
    </w:p>
    <w:p w14:paraId="3E07C2BA"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Physical Medicine and Rehabilitation means a physician reported as one of the following specialist physician types: physical medicine and rehabilitation or pediatric rehabilitation medicine.</w:t>
      </w:r>
    </w:p>
    <w:p w14:paraId="4AC62B18"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Podiatry means a podiatrist reported as the following specialist physician type pursuant to the California Board of Podiatric Medicine: podiatry.</w:t>
      </w:r>
    </w:p>
    <w:p w14:paraId="2F70032C"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Psychiatry means a physician reported as one of the following specialist physician types: p</w:t>
      </w:r>
      <w:r w:rsidRPr="00784BEA">
        <w:rPr>
          <w:rStyle w:val="xnormaltextrun"/>
          <w:rFonts w:ascii="Arial" w:hAnsi="Arial" w:cs="Arial"/>
          <w:sz w:val="24"/>
          <w:szCs w:val="24"/>
          <w:u w:val="single"/>
          <w:shd w:val="clear" w:color="auto" w:fill="FFFFFF"/>
        </w:rPr>
        <w:t>sychiatry, child and adolescent psychiatry, consultation-liaison psychiatry, geriatric psychiatry or addiction psychiatry.</w:t>
      </w:r>
    </w:p>
    <w:p w14:paraId="77368573"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 xml:space="preserve">Pulmonology means a physician reported as one of the following specialist physician types: </w:t>
      </w:r>
      <w:r w:rsidRPr="00784BEA">
        <w:rPr>
          <w:rStyle w:val="xnormaltextrun"/>
          <w:rFonts w:ascii="Arial" w:hAnsi="Arial" w:cs="Arial"/>
          <w:sz w:val="24"/>
          <w:szCs w:val="24"/>
          <w:u w:val="single"/>
          <w:shd w:val="clear" w:color="auto" w:fill="FFFFFF"/>
        </w:rPr>
        <w:t>pulmonology or pediatric pulmonology.</w:t>
      </w:r>
    </w:p>
    <w:p w14:paraId="01AA7E26"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Radiation Oncology means a physician reported as the following specialist physician type: radiation oncology.</w:t>
      </w:r>
    </w:p>
    <w:p w14:paraId="04B6248A"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 xml:space="preserve">Rheumatology means a physician reported as one of the following specialist physician types: </w:t>
      </w:r>
      <w:r w:rsidRPr="00784BEA">
        <w:rPr>
          <w:rStyle w:val="xnormaltextrun"/>
          <w:rFonts w:ascii="Arial" w:hAnsi="Arial" w:cs="Arial"/>
          <w:sz w:val="24"/>
          <w:szCs w:val="24"/>
          <w:u w:val="single"/>
          <w:shd w:val="clear" w:color="auto" w:fill="FFFFFF"/>
        </w:rPr>
        <w:t>rheumatology or pediatric rheumatology.</w:t>
      </w:r>
    </w:p>
    <w:p w14:paraId="5AA48678" w14:textId="75AA8001"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 xml:space="preserve">Surgery-General means a physician reported as one of following specialist physician types: </w:t>
      </w:r>
      <w:r w:rsidRPr="00784BEA">
        <w:rPr>
          <w:rStyle w:val="xnormaltextrun"/>
          <w:rFonts w:ascii="Arial" w:hAnsi="Arial" w:cs="Arial"/>
          <w:sz w:val="24"/>
          <w:szCs w:val="24"/>
          <w:u w:val="single"/>
          <w:shd w:val="clear" w:color="auto" w:fill="FFFFFF"/>
        </w:rPr>
        <w:t xml:space="preserve">surgery </w:t>
      </w:r>
      <w:r w:rsidR="00DC0FE8" w:rsidRPr="0094609E">
        <w:rPr>
          <w:rFonts w:ascii="Arial" w:hAnsi="Arial" w:cs="Arial"/>
          <w:color w:val="000000" w:themeColor="text1"/>
          <w:sz w:val="24"/>
          <w:szCs w:val="24"/>
          <w:u w:val="single"/>
        </w:rPr>
        <w:t>-</w:t>
      </w:r>
      <w:r w:rsidRPr="00784BEA">
        <w:rPr>
          <w:rStyle w:val="xnormaltextrun"/>
          <w:rFonts w:ascii="Arial" w:hAnsi="Arial" w:cs="Arial"/>
          <w:sz w:val="24"/>
          <w:szCs w:val="24"/>
          <w:u w:val="single"/>
          <w:shd w:val="clear" w:color="auto" w:fill="FFFFFF"/>
        </w:rPr>
        <w:t xml:space="preserve"> general or pediatric surgery.</w:t>
      </w:r>
    </w:p>
    <w:p w14:paraId="74C78D3C" w14:textId="6C62AF4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 xml:space="preserve">Surgery-Orthopedic means a physician reported as one of the following specialist physician types: </w:t>
      </w:r>
      <w:r w:rsidRPr="00784BEA">
        <w:rPr>
          <w:rStyle w:val="xnormaltextrun"/>
          <w:rFonts w:ascii="Arial" w:hAnsi="Arial" w:cs="Arial"/>
          <w:sz w:val="24"/>
          <w:szCs w:val="24"/>
          <w:u w:val="single"/>
          <w:shd w:val="clear" w:color="auto" w:fill="FFFFFF"/>
        </w:rPr>
        <w:t xml:space="preserve">surgery </w:t>
      </w:r>
      <w:r w:rsidR="00DC0FE8" w:rsidRPr="0094609E">
        <w:rPr>
          <w:rFonts w:ascii="Arial" w:hAnsi="Arial" w:cs="Arial"/>
          <w:color w:val="000000" w:themeColor="text1"/>
          <w:sz w:val="24"/>
          <w:szCs w:val="24"/>
          <w:u w:val="single"/>
        </w:rPr>
        <w:t>-</w:t>
      </w:r>
      <w:r w:rsidRPr="00784BEA">
        <w:rPr>
          <w:rStyle w:val="xnormaltextrun"/>
          <w:rFonts w:ascii="Arial" w:hAnsi="Arial" w:cs="Arial"/>
          <w:sz w:val="24"/>
          <w:szCs w:val="24"/>
          <w:u w:val="single"/>
          <w:shd w:val="clear" w:color="auto" w:fill="FFFFFF"/>
        </w:rPr>
        <w:t xml:space="preserve"> orthopaedic or orthopaedic sports medicine.</w:t>
      </w:r>
    </w:p>
    <w:p w14:paraId="26823E0B" w14:textId="77777777" w:rsidR="00515E6B" w:rsidRPr="00784BEA" w:rsidRDefault="00515E6B" w:rsidP="006B7E96">
      <w:pPr>
        <w:pStyle w:val="ListParagraph"/>
        <w:numPr>
          <w:ilvl w:val="1"/>
          <w:numId w:val="2"/>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9D3A85">
        <w:rPr>
          <w:rStyle w:val="xnormaltextrun"/>
          <w:rFonts w:ascii="Arial" w:hAnsi="Arial" w:cs="Arial"/>
          <w:sz w:val="24"/>
          <w:szCs w:val="24"/>
          <w:u w:val="single"/>
          <w:shd w:val="clear" w:color="auto" w:fill="FFFFFF"/>
        </w:rPr>
        <w:t>Urology means a physician reported as one of the following specialist physician types: u</w:t>
      </w:r>
      <w:r w:rsidRPr="00784BEA">
        <w:rPr>
          <w:rStyle w:val="xnormaltextrun"/>
          <w:rFonts w:ascii="Arial" w:hAnsi="Arial" w:cs="Arial"/>
          <w:sz w:val="24"/>
          <w:szCs w:val="24"/>
          <w:u w:val="single"/>
          <w:shd w:val="clear" w:color="auto" w:fill="FFFFFF"/>
        </w:rPr>
        <w:t>rology or pediatric urology.</w:t>
      </w:r>
    </w:p>
    <w:p w14:paraId="35EDA97A" w14:textId="36B78208" w:rsidR="00E4187C" w:rsidRDefault="00E4187C"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 xml:space="preserve">“Specialty” </w:t>
      </w:r>
      <w:r w:rsidR="004025AB">
        <w:rPr>
          <w:rFonts w:ascii="Arial" w:hAnsi="Arial" w:cs="Arial"/>
          <w:color w:val="000000" w:themeColor="text1"/>
          <w:sz w:val="24"/>
          <w:szCs w:val="24"/>
          <w:u w:val="single"/>
        </w:rPr>
        <w:t xml:space="preserve">or “subspecialty” </w:t>
      </w:r>
      <w:r>
        <w:rPr>
          <w:rFonts w:ascii="Arial" w:hAnsi="Arial" w:cs="Arial"/>
          <w:color w:val="000000" w:themeColor="text1"/>
          <w:sz w:val="24"/>
          <w:szCs w:val="24"/>
          <w:u w:val="single"/>
        </w:rPr>
        <w:t>shall have the definition set forth in Rule 1300.67.2.2(b).</w:t>
      </w:r>
    </w:p>
    <w:p w14:paraId="7E1A69DA" w14:textId="7D9AC7BD"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961263">
        <w:rPr>
          <w:rFonts w:ascii="Arial" w:hAnsi="Arial" w:cs="Arial"/>
          <w:color w:val="000000" w:themeColor="text1"/>
          <w:sz w:val="24"/>
          <w:szCs w:val="24"/>
          <w:u w:val="single"/>
        </w:rPr>
        <w:t>“Telehealth” shall have the definition set forth in Business and Professions Code section 2290.5(a)(6).</w:t>
      </w:r>
    </w:p>
    <w:p w14:paraId="565BD51E" w14:textId="77777777"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shd w:val="clear" w:color="auto" w:fill="FFFFFF"/>
        </w:rPr>
      </w:pPr>
      <w:r w:rsidRPr="00961263">
        <w:rPr>
          <w:rFonts w:ascii="Arial" w:hAnsi="Arial" w:cs="Arial"/>
          <w:color w:val="000000" w:themeColor="text1"/>
          <w:sz w:val="24"/>
          <w:szCs w:val="24"/>
          <w:u w:val="single"/>
        </w:rPr>
        <w:lastRenderedPageBreak/>
        <w:t xml:space="preserve">“Telehealth modality” </w:t>
      </w:r>
      <w:r w:rsidRPr="00961263">
        <w:rPr>
          <w:rStyle w:val="xnormaltextrun"/>
          <w:rFonts w:ascii="Arial" w:hAnsi="Arial" w:cs="Arial"/>
          <w:color w:val="000000" w:themeColor="text1"/>
          <w:sz w:val="24"/>
          <w:szCs w:val="24"/>
          <w:u w:val="single"/>
          <w:shd w:val="clear" w:color="auto" w:fill="FFFFFF"/>
        </w:rPr>
        <w:t>shall have the definition</w:t>
      </w:r>
      <w:r w:rsidRPr="00961263">
        <w:rPr>
          <w:rFonts w:ascii="Arial" w:hAnsi="Arial" w:cs="Arial"/>
          <w:color w:val="000000" w:themeColor="text1"/>
          <w:sz w:val="24"/>
          <w:szCs w:val="24"/>
          <w:u w:val="single"/>
          <w:shd w:val="clear" w:color="auto" w:fill="FFFFFF"/>
        </w:rPr>
        <w:t xml:space="preserve"> </w:t>
      </w:r>
      <w:r w:rsidRPr="00961263">
        <w:rPr>
          <w:rStyle w:val="xnormaltextrun"/>
          <w:rFonts w:ascii="Arial" w:hAnsi="Arial" w:cs="Arial"/>
          <w:color w:val="000000" w:themeColor="text1"/>
          <w:sz w:val="24"/>
          <w:szCs w:val="24"/>
          <w:u w:val="single"/>
          <w:shd w:val="clear" w:color="auto" w:fill="FFFFFF"/>
        </w:rPr>
        <w:t xml:space="preserve">set forth in the Definitions section of the Annual Network Submission Instruction Manual, as incorporated in 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1300.67.2.2.</w:t>
      </w:r>
    </w:p>
    <w:p w14:paraId="1C0BCE1F" w14:textId="2F8AE45D"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shd w:val="clear" w:color="auto" w:fill="FFFFFF"/>
        </w:rPr>
      </w:pPr>
      <w:r w:rsidRPr="00961263">
        <w:rPr>
          <w:rStyle w:val="xnormaltextrun"/>
          <w:rFonts w:ascii="Arial" w:hAnsi="Arial" w:cs="Arial"/>
          <w:color w:val="000000" w:themeColor="text1"/>
          <w:sz w:val="24"/>
          <w:szCs w:val="24"/>
          <w:u w:val="single"/>
          <w:shd w:val="clear" w:color="auto" w:fill="FFFFFF"/>
        </w:rPr>
        <w:t>“Telehealth-only network provider” means a network provider that delivers services to enrollees only via telehealth modalities in the reported network. A “telehealth-only network provider” does not include a Third-Party Corporate Telehealth Provider, as defined in Health and Safety Code section 1374.141(b)(4).</w:t>
      </w:r>
    </w:p>
    <w:p w14:paraId="0BEF3629" w14:textId="151DF21D" w:rsidR="00DA5C12" w:rsidRPr="001E1A43" w:rsidRDefault="00DA5C12" w:rsidP="008D6996">
      <w:pPr>
        <w:pStyle w:val="Heading3"/>
        <w:ind w:left="1080"/>
        <w:rPr>
          <w:rFonts w:cs="Arial"/>
          <w:color w:val="000000" w:themeColor="text1"/>
        </w:rPr>
      </w:pPr>
      <w:r w:rsidRPr="001E1A43">
        <w:rPr>
          <w:rFonts w:cs="Arial"/>
        </w:rPr>
        <w:t xml:space="preserve">Ratio Standard for </w:t>
      </w:r>
      <w:r w:rsidR="00583905" w:rsidRPr="001E1A43">
        <w:rPr>
          <w:rFonts w:cs="Arial"/>
          <w:color w:val="000000" w:themeColor="text1"/>
        </w:rPr>
        <w:t>Specialist Physicians</w:t>
      </w:r>
    </w:p>
    <w:p w14:paraId="1FAAD8B3" w14:textId="75FE0AD6" w:rsidR="00547574" w:rsidRPr="00885692" w:rsidRDefault="00DA5C12" w:rsidP="006B7E96">
      <w:pPr>
        <w:pStyle w:val="ListParagraph"/>
        <w:numPr>
          <w:ilvl w:val="0"/>
          <w:numId w:val="13"/>
        </w:numPr>
        <w:spacing w:after="240" w:line="259" w:lineRule="auto"/>
        <w:ind w:left="720"/>
        <w:contextualSpacing w:val="0"/>
        <w:rPr>
          <w:rFonts w:ascii="Arial" w:hAnsi="Arial" w:cs="Arial"/>
          <w:color w:val="000000" w:themeColor="text1"/>
          <w:sz w:val="24"/>
          <w:szCs w:val="24"/>
          <w:u w:val="single"/>
        </w:rPr>
      </w:pPr>
      <w:r w:rsidRPr="006A1084">
        <w:rPr>
          <w:rFonts w:ascii="Arial" w:hAnsi="Arial" w:cs="Arial"/>
          <w:color w:val="000000" w:themeColor="text1"/>
          <w:sz w:val="24"/>
          <w:szCs w:val="24"/>
          <w:u w:val="single"/>
        </w:rPr>
        <w:t xml:space="preserve">The network, and each applicable county within the network service area, shall include network </w:t>
      </w:r>
      <w:r w:rsidRPr="00885692">
        <w:rPr>
          <w:rFonts w:ascii="Arial" w:hAnsi="Arial" w:cs="Arial"/>
          <w:color w:val="000000" w:themeColor="text1"/>
          <w:sz w:val="24"/>
          <w:szCs w:val="24"/>
          <w:u w:val="single"/>
        </w:rPr>
        <w:t xml:space="preserve">providers </w:t>
      </w:r>
      <w:r w:rsidR="003112AE" w:rsidRPr="00885692">
        <w:rPr>
          <w:rFonts w:ascii="Arial" w:hAnsi="Arial" w:cs="Arial"/>
          <w:color w:val="000000" w:themeColor="text1"/>
          <w:sz w:val="24"/>
          <w:szCs w:val="24"/>
          <w:u w:val="single"/>
        </w:rPr>
        <w:t>that meet</w:t>
      </w:r>
      <w:r w:rsidRPr="00885692">
        <w:rPr>
          <w:rFonts w:ascii="Arial" w:hAnsi="Arial" w:cs="Arial"/>
          <w:color w:val="000000" w:themeColor="text1"/>
          <w:sz w:val="24"/>
          <w:szCs w:val="24"/>
          <w:u w:val="single"/>
        </w:rPr>
        <w:t xml:space="preserve"> </w:t>
      </w:r>
      <w:r w:rsidR="00547574" w:rsidRPr="00885692">
        <w:rPr>
          <w:rFonts w:ascii="Arial" w:hAnsi="Arial" w:cs="Arial"/>
          <w:color w:val="000000" w:themeColor="text1"/>
          <w:sz w:val="24"/>
          <w:szCs w:val="24"/>
          <w:u w:val="single"/>
        </w:rPr>
        <w:t xml:space="preserve">the listed </w:t>
      </w:r>
      <w:r w:rsidRPr="00885692">
        <w:rPr>
          <w:rFonts w:ascii="Arial" w:hAnsi="Arial" w:cs="Arial"/>
          <w:color w:val="000000" w:themeColor="text1"/>
          <w:sz w:val="24"/>
          <w:szCs w:val="24"/>
          <w:u w:val="single"/>
        </w:rPr>
        <w:t xml:space="preserve">ratio </w:t>
      </w:r>
      <w:r w:rsidR="008F0314" w:rsidRPr="00885692">
        <w:rPr>
          <w:rFonts w:ascii="Arial" w:hAnsi="Arial" w:cs="Arial"/>
          <w:color w:val="000000" w:themeColor="text1"/>
          <w:sz w:val="24"/>
          <w:szCs w:val="24"/>
          <w:u w:val="single"/>
        </w:rPr>
        <w:t xml:space="preserve">standard </w:t>
      </w:r>
      <w:r w:rsidR="00830E70" w:rsidRPr="00885692">
        <w:rPr>
          <w:rFonts w:ascii="Arial" w:hAnsi="Arial" w:cs="Arial"/>
          <w:color w:val="000000" w:themeColor="text1"/>
          <w:sz w:val="24"/>
          <w:szCs w:val="24"/>
          <w:u w:val="single"/>
        </w:rPr>
        <w:t>for the following specialist physician types</w:t>
      </w:r>
      <w:r w:rsidR="00FF1789" w:rsidRPr="00885692">
        <w:rPr>
          <w:rFonts w:ascii="Arial" w:hAnsi="Arial" w:cs="Arial"/>
          <w:color w:val="000000" w:themeColor="text1"/>
          <w:sz w:val="24"/>
          <w:szCs w:val="24"/>
          <w:u w:val="single"/>
        </w:rPr>
        <w:t>,</w:t>
      </w:r>
      <w:r w:rsidR="002C1808" w:rsidRPr="00885692">
        <w:rPr>
          <w:rFonts w:ascii="Arial" w:hAnsi="Arial" w:cs="Arial"/>
          <w:color w:val="000000" w:themeColor="text1"/>
          <w:sz w:val="24"/>
          <w:szCs w:val="24"/>
          <w:u w:val="single"/>
        </w:rPr>
        <w:t xml:space="preserve"> measured by the </w:t>
      </w:r>
      <w:r w:rsidR="00A26D59" w:rsidRPr="00885692">
        <w:rPr>
          <w:rFonts w:ascii="Arial" w:hAnsi="Arial" w:cs="Arial"/>
          <w:color w:val="000000" w:themeColor="text1"/>
          <w:sz w:val="24"/>
          <w:szCs w:val="24"/>
          <w:u w:val="single"/>
        </w:rPr>
        <w:t>full-time equivalent (</w:t>
      </w:r>
      <w:r w:rsidR="002C1808" w:rsidRPr="00885692">
        <w:rPr>
          <w:rFonts w:ascii="Arial" w:hAnsi="Arial" w:cs="Arial"/>
          <w:color w:val="000000" w:themeColor="text1"/>
          <w:sz w:val="24"/>
          <w:szCs w:val="24"/>
          <w:u w:val="single"/>
        </w:rPr>
        <w:t>FTE</w:t>
      </w:r>
      <w:r w:rsidR="00A26D59" w:rsidRPr="00885692">
        <w:rPr>
          <w:rFonts w:ascii="Arial" w:hAnsi="Arial" w:cs="Arial"/>
          <w:color w:val="000000" w:themeColor="text1"/>
          <w:sz w:val="24"/>
          <w:szCs w:val="24"/>
          <w:u w:val="single"/>
        </w:rPr>
        <w:t>)</w:t>
      </w:r>
      <w:r w:rsidR="002C1808" w:rsidRPr="00885692">
        <w:rPr>
          <w:rFonts w:ascii="Arial" w:hAnsi="Arial" w:cs="Arial"/>
          <w:color w:val="000000" w:themeColor="text1"/>
          <w:sz w:val="24"/>
          <w:szCs w:val="24"/>
          <w:u w:val="single"/>
        </w:rPr>
        <w:t xml:space="preserve"> value of each specialist physician</w:t>
      </w:r>
      <w:r w:rsidR="00D42F96" w:rsidRPr="00885692">
        <w:rPr>
          <w:rFonts w:ascii="Arial" w:hAnsi="Arial" w:cs="Arial"/>
          <w:color w:val="000000" w:themeColor="text1"/>
          <w:sz w:val="24"/>
          <w:szCs w:val="24"/>
          <w:u w:val="single"/>
        </w:rPr>
        <w:t>:</w:t>
      </w:r>
    </w:p>
    <w:p w14:paraId="7D54E4AE" w14:textId="2DF2B43F" w:rsidR="00252E0D" w:rsidRDefault="00252E0D" w:rsidP="006B7E96">
      <w:pPr>
        <w:pStyle w:val="ListParagraph"/>
        <w:numPr>
          <w:ilvl w:val="0"/>
          <w:numId w:val="33"/>
        </w:numPr>
        <w:autoSpaceDE w:val="0"/>
        <w:autoSpaceDN w:val="0"/>
        <w:adjustRightInd w:val="0"/>
        <w:spacing w:after="240"/>
        <w:ind w:left="108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The following specialty types shall each meet a one FTE per 5,</w:t>
      </w:r>
      <w:r w:rsidR="00A862F5" w:rsidRPr="00F17DEC">
        <w:rPr>
          <w:rFonts w:ascii="Arial" w:hAnsi="Arial" w:cs="Arial"/>
          <w:color w:val="000000" w:themeColor="text1"/>
          <w:sz w:val="24"/>
          <w:szCs w:val="24"/>
          <w:u w:val="single"/>
        </w:rPr>
        <w:t>5</w:t>
      </w:r>
      <w:r>
        <w:rPr>
          <w:rFonts w:ascii="Arial" w:hAnsi="Arial" w:cs="Arial"/>
          <w:color w:val="000000" w:themeColor="text1"/>
          <w:sz w:val="24"/>
          <w:szCs w:val="24"/>
          <w:u w:val="single"/>
        </w:rPr>
        <w:t>00 enrollees ratio:</w:t>
      </w:r>
    </w:p>
    <w:p w14:paraId="649B19D5" w14:textId="3CC09343" w:rsidR="00A862F5" w:rsidRDefault="00CF3F43" w:rsidP="00F310CA">
      <w:pPr>
        <w:pStyle w:val="ListParagraph"/>
        <w:numPr>
          <w:ilvl w:val="0"/>
          <w:numId w:val="1"/>
        </w:numPr>
        <w:spacing w:after="0"/>
        <w:ind w:left="1800"/>
        <w:contextualSpacing w:val="0"/>
        <w:rPr>
          <w:rFonts w:ascii="Arial" w:hAnsi="Arial" w:cs="Arial"/>
          <w:color w:val="000000" w:themeColor="text1"/>
          <w:sz w:val="24"/>
          <w:szCs w:val="24"/>
          <w:u w:val="single"/>
        </w:rPr>
      </w:pPr>
      <w:r w:rsidRPr="00CF3F43">
        <w:rPr>
          <w:rFonts w:ascii="Arial" w:hAnsi="Arial" w:cs="Arial"/>
          <w:color w:val="000000" w:themeColor="text1"/>
          <w:sz w:val="24"/>
          <w:szCs w:val="24"/>
          <w:u w:val="single"/>
        </w:rPr>
        <w:t>P</w:t>
      </w:r>
      <w:r w:rsidR="009964AB" w:rsidRPr="0094609E">
        <w:rPr>
          <w:rFonts w:ascii="Arial" w:hAnsi="Arial" w:cs="Arial"/>
          <w:color w:val="000000" w:themeColor="text1"/>
          <w:sz w:val="24"/>
          <w:szCs w:val="24"/>
          <w:u w:val="single"/>
        </w:rPr>
        <w:t>sychiatry</w:t>
      </w:r>
    </w:p>
    <w:p w14:paraId="1A00B602" w14:textId="40886292" w:rsidR="00A862F5" w:rsidRDefault="00815A42" w:rsidP="00F310CA">
      <w:pPr>
        <w:pStyle w:val="ListParagraph"/>
        <w:numPr>
          <w:ilvl w:val="0"/>
          <w:numId w:val="1"/>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O</w:t>
      </w:r>
      <w:r w:rsidR="009964AB" w:rsidRPr="0094609E">
        <w:rPr>
          <w:rFonts w:ascii="Arial" w:hAnsi="Arial" w:cs="Arial"/>
          <w:color w:val="000000" w:themeColor="text1"/>
          <w:sz w:val="24"/>
          <w:szCs w:val="24"/>
          <w:u w:val="single"/>
        </w:rPr>
        <w:t>bstetrics/</w:t>
      </w:r>
      <w:r w:rsidR="00FC7F30" w:rsidRPr="0094609E">
        <w:rPr>
          <w:rFonts w:ascii="Arial" w:hAnsi="Arial" w:cs="Arial"/>
          <w:color w:val="000000" w:themeColor="text1"/>
          <w:sz w:val="24"/>
          <w:szCs w:val="24"/>
          <w:u w:val="single"/>
        </w:rPr>
        <w:t>g</w:t>
      </w:r>
      <w:r w:rsidR="009964AB" w:rsidRPr="0094609E">
        <w:rPr>
          <w:rFonts w:ascii="Arial" w:hAnsi="Arial" w:cs="Arial"/>
          <w:color w:val="000000" w:themeColor="text1"/>
          <w:sz w:val="24"/>
          <w:szCs w:val="24"/>
          <w:u w:val="single"/>
        </w:rPr>
        <w:t>ynecology</w:t>
      </w:r>
    </w:p>
    <w:p w14:paraId="2C3A91FD" w14:textId="7B91C886" w:rsidR="009964AB" w:rsidRPr="0094609E" w:rsidRDefault="00815A42" w:rsidP="00F310CA">
      <w:pPr>
        <w:pStyle w:val="ListParagraph"/>
        <w:numPr>
          <w:ilvl w:val="0"/>
          <w:numId w:val="1"/>
        </w:numPr>
        <w:spacing w:after="24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S</w:t>
      </w:r>
      <w:r w:rsidR="00FC7F30" w:rsidRPr="0094609E">
        <w:rPr>
          <w:rFonts w:ascii="Arial" w:hAnsi="Arial" w:cs="Arial"/>
          <w:color w:val="000000" w:themeColor="text1"/>
          <w:sz w:val="24"/>
          <w:szCs w:val="24"/>
          <w:u w:val="single"/>
        </w:rPr>
        <w:t>ur</w:t>
      </w:r>
      <w:r w:rsidR="009964AB" w:rsidRPr="0094609E">
        <w:rPr>
          <w:rFonts w:ascii="Arial" w:hAnsi="Arial" w:cs="Arial"/>
          <w:color w:val="000000" w:themeColor="text1"/>
          <w:sz w:val="24"/>
          <w:szCs w:val="24"/>
          <w:u w:val="single"/>
        </w:rPr>
        <w:t>gery</w:t>
      </w:r>
      <w:r w:rsidR="00830E70" w:rsidRPr="0094609E">
        <w:rPr>
          <w:rFonts w:ascii="Arial" w:hAnsi="Arial" w:cs="Arial"/>
          <w:color w:val="000000" w:themeColor="text1"/>
          <w:sz w:val="24"/>
          <w:szCs w:val="24"/>
          <w:u w:val="single"/>
        </w:rPr>
        <w:t xml:space="preserve"> </w:t>
      </w:r>
      <w:r w:rsidR="009964AB" w:rsidRPr="0094609E">
        <w:rPr>
          <w:rFonts w:ascii="Arial" w:hAnsi="Arial" w:cs="Arial"/>
          <w:color w:val="000000" w:themeColor="text1"/>
          <w:sz w:val="24"/>
          <w:szCs w:val="24"/>
          <w:u w:val="single"/>
        </w:rPr>
        <w:t>-</w:t>
      </w:r>
      <w:r w:rsidR="00830E70" w:rsidRPr="0094609E">
        <w:rPr>
          <w:rFonts w:ascii="Arial" w:hAnsi="Arial" w:cs="Arial"/>
          <w:color w:val="000000" w:themeColor="text1"/>
          <w:sz w:val="24"/>
          <w:szCs w:val="24"/>
          <w:u w:val="single"/>
        </w:rPr>
        <w:t xml:space="preserve"> </w:t>
      </w:r>
      <w:r w:rsidR="00FC7F30" w:rsidRPr="0094609E">
        <w:rPr>
          <w:rFonts w:ascii="Arial" w:hAnsi="Arial" w:cs="Arial"/>
          <w:color w:val="000000" w:themeColor="text1"/>
          <w:sz w:val="24"/>
          <w:szCs w:val="24"/>
          <w:u w:val="single"/>
        </w:rPr>
        <w:t>g</w:t>
      </w:r>
      <w:r w:rsidR="009964AB" w:rsidRPr="0094609E">
        <w:rPr>
          <w:rFonts w:ascii="Arial" w:hAnsi="Arial" w:cs="Arial"/>
          <w:color w:val="000000" w:themeColor="text1"/>
          <w:sz w:val="24"/>
          <w:szCs w:val="24"/>
          <w:u w:val="single"/>
        </w:rPr>
        <w:t>eneral</w:t>
      </w:r>
    </w:p>
    <w:p w14:paraId="25786312" w14:textId="62AAA4D1" w:rsidR="00100DEC" w:rsidRDefault="00011694" w:rsidP="006B7E96">
      <w:pPr>
        <w:pStyle w:val="ListParagraph"/>
        <w:numPr>
          <w:ilvl w:val="0"/>
          <w:numId w:val="33"/>
        </w:numPr>
        <w:autoSpaceDE w:val="0"/>
        <w:autoSpaceDN w:val="0"/>
        <w:adjustRightInd w:val="0"/>
        <w:spacing w:after="240"/>
        <w:ind w:left="108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The following specialty types shall each meet a one FTE per 8,000 enrollees ratio</w:t>
      </w:r>
      <w:r w:rsidR="00100DEC" w:rsidRPr="0094609E">
        <w:rPr>
          <w:rFonts w:ascii="Arial" w:hAnsi="Arial" w:cs="Arial"/>
          <w:color w:val="000000" w:themeColor="text1"/>
          <w:sz w:val="24"/>
          <w:szCs w:val="24"/>
          <w:u w:val="single"/>
        </w:rPr>
        <w:t>:</w:t>
      </w:r>
    </w:p>
    <w:p w14:paraId="0A2E2393" w14:textId="1E383F84" w:rsidR="00011694" w:rsidRDefault="00011694" w:rsidP="00E950D3">
      <w:pPr>
        <w:pStyle w:val="ListParagraph"/>
        <w:numPr>
          <w:ilvl w:val="0"/>
          <w:numId w:val="40"/>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C</w:t>
      </w:r>
      <w:r w:rsidRPr="0094609E">
        <w:rPr>
          <w:rFonts w:ascii="Arial" w:hAnsi="Arial" w:cs="Arial"/>
          <w:color w:val="000000" w:themeColor="text1"/>
          <w:sz w:val="24"/>
          <w:szCs w:val="24"/>
          <w:u w:val="single"/>
        </w:rPr>
        <w:t>ardiovascular disease</w:t>
      </w:r>
    </w:p>
    <w:p w14:paraId="4C124F65" w14:textId="26C009A4" w:rsidR="00011694" w:rsidRDefault="00011694" w:rsidP="00E950D3">
      <w:pPr>
        <w:pStyle w:val="ListParagraph"/>
        <w:numPr>
          <w:ilvl w:val="0"/>
          <w:numId w:val="40"/>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S</w:t>
      </w:r>
      <w:r w:rsidRPr="0094609E">
        <w:rPr>
          <w:rFonts w:ascii="Arial" w:hAnsi="Arial" w:cs="Arial"/>
          <w:color w:val="000000" w:themeColor="text1"/>
          <w:sz w:val="24"/>
          <w:szCs w:val="24"/>
          <w:u w:val="single"/>
        </w:rPr>
        <w:t xml:space="preserve">urgery </w:t>
      </w:r>
      <w:r w:rsidR="00DC0FE8" w:rsidRPr="0094609E">
        <w:rPr>
          <w:rFonts w:ascii="Arial" w:hAnsi="Arial" w:cs="Arial"/>
          <w:color w:val="000000" w:themeColor="text1"/>
          <w:sz w:val="24"/>
          <w:szCs w:val="24"/>
          <w:u w:val="single"/>
        </w:rPr>
        <w:t>-</w:t>
      </w:r>
      <w:r w:rsidR="00DC0FE8">
        <w:rPr>
          <w:rFonts w:ascii="Arial" w:hAnsi="Arial" w:cs="Arial"/>
          <w:color w:val="000000" w:themeColor="text1"/>
          <w:sz w:val="24"/>
          <w:szCs w:val="24"/>
          <w:u w:val="single"/>
        </w:rPr>
        <w:t xml:space="preserve"> </w:t>
      </w:r>
      <w:r w:rsidRPr="0094609E">
        <w:rPr>
          <w:rFonts w:ascii="Arial" w:hAnsi="Arial" w:cs="Arial"/>
          <w:color w:val="000000" w:themeColor="text1"/>
          <w:sz w:val="24"/>
          <w:szCs w:val="24"/>
          <w:u w:val="single"/>
        </w:rPr>
        <w:t>orthopaedic</w:t>
      </w:r>
    </w:p>
    <w:p w14:paraId="49CA7F64" w14:textId="3927ED08" w:rsidR="00C61134" w:rsidRPr="009647FF" w:rsidRDefault="00011694" w:rsidP="00E950D3">
      <w:pPr>
        <w:pStyle w:val="ListParagraph"/>
        <w:numPr>
          <w:ilvl w:val="0"/>
          <w:numId w:val="40"/>
        </w:numPr>
        <w:spacing w:after="240"/>
        <w:ind w:left="1800"/>
        <w:contextualSpacing w:val="0"/>
        <w:rPr>
          <w:rFonts w:ascii="Arial" w:hAnsi="Arial" w:cs="Arial"/>
          <w:color w:val="000000" w:themeColor="text1"/>
          <w:sz w:val="24"/>
          <w:szCs w:val="24"/>
          <w:u w:val="single"/>
        </w:rPr>
      </w:pPr>
      <w:r w:rsidRPr="00823B2D">
        <w:rPr>
          <w:rFonts w:ascii="Arial" w:hAnsi="Arial" w:cs="Arial"/>
          <w:color w:val="000000" w:themeColor="text1"/>
          <w:sz w:val="24"/>
          <w:szCs w:val="24"/>
          <w:u w:val="single"/>
        </w:rPr>
        <w:t>Neurology</w:t>
      </w:r>
    </w:p>
    <w:p w14:paraId="1093D9BF" w14:textId="0E586FFE" w:rsidR="00011694" w:rsidRDefault="00011694" w:rsidP="006B7E96">
      <w:pPr>
        <w:pStyle w:val="ListParagraph"/>
        <w:numPr>
          <w:ilvl w:val="0"/>
          <w:numId w:val="33"/>
        </w:numPr>
        <w:autoSpaceDE w:val="0"/>
        <w:autoSpaceDN w:val="0"/>
        <w:adjustRightInd w:val="0"/>
        <w:spacing w:after="240"/>
        <w:ind w:left="108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The following specialty types shall each meet a one FTE per 15,000 enrollees ratio</w:t>
      </w:r>
      <w:r w:rsidRPr="0094609E">
        <w:rPr>
          <w:rFonts w:ascii="Arial" w:hAnsi="Arial" w:cs="Arial"/>
          <w:color w:val="000000" w:themeColor="text1"/>
          <w:sz w:val="24"/>
          <w:szCs w:val="24"/>
          <w:u w:val="single"/>
        </w:rPr>
        <w:t>:</w:t>
      </w:r>
    </w:p>
    <w:p w14:paraId="4BA34A7C" w14:textId="1BCC338E" w:rsidR="00BB7AA8" w:rsidRDefault="00BB7AA8" w:rsidP="00E950D3">
      <w:pPr>
        <w:pStyle w:val="ListParagraph"/>
        <w:numPr>
          <w:ilvl w:val="0"/>
          <w:numId w:val="41"/>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O</w:t>
      </w:r>
      <w:r w:rsidR="00FD7F27" w:rsidRPr="0094609E">
        <w:rPr>
          <w:rFonts w:ascii="Arial" w:hAnsi="Arial" w:cs="Arial"/>
          <w:color w:val="000000" w:themeColor="text1"/>
          <w:sz w:val="24"/>
          <w:szCs w:val="24"/>
          <w:u w:val="single"/>
        </w:rPr>
        <w:t>ncology</w:t>
      </w:r>
    </w:p>
    <w:p w14:paraId="2389A6F3" w14:textId="52F99C25" w:rsidR="00BB7AA8" w:rsidRDefault="00BB7AA8" w:rsidP="00E950D3">
      <w:pPr>
        <w:pStyle w:val="ListParagraph"/>
        <w:numPr>
          <w:ilvl w:val="0"/>
          <w:numId w:val="41"/>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O</w:t>
      </w:r>
      <w:r w:rsidR="00FD7F27" w:rsidRPr="0094609E">
        <w:rPr>
          <w:rFonts w:ascii="Arial" w:hAnsi="Arial" w:cs="Arial"/>
          <w:color w:val="000000" w:themeColor="text1"/>
          <w:sz w:val="24"/>
          <w:szCs w:val="24"/>
          <w:u w:val="single"/>
        </w:rPr>
        <w:t>phthalmology</w:t>
      </w:r>
    </w:p>
    <w:p w14:paraId="1A0A7173" w14:textId="4CE80751" w:rsidR="00BB7AA8" w:rsidRDefault="00BB7AA8" w:rsidP="00E950D3">
      <w:pPr>
        <w:pStyle w:val="ListParagraph"/>
        <w:numPr>
          <w:ilvl w:val="0"/>
          <w:numId w:val="41"/>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P</w:t>
      </w:r>
      <w:r w:rsidR="00FD7F27" w:rsidRPr="0094609E">
        <w:rPr>
          <w:rFonts w:ascii="Arial" w:hAnsi="Arial" w:cs="Arial"/>
          <w:color w:val="000000" w:themeColor="text1"/>
          <w:sz w:val="24"/>
          <w:szCs w:val="24"/>
          <w:u w:val="single"/>
        </w:rPr>
        <w:t>ulmonology,</w:t>
      </w:r>
    </w:p>
    <w:p w14:paraId="6462B539" w14:textId="1D666BC7" w:rsidR="00BB7AA8" w:rsidRDefault="00BB7AA8" w:rsidP="00E950D3">
      <w:pPr>
        <w:pStyle w:val="ListParagraph"/>
        <w:numPr>
          <w:ilvl w:val="0"/>
          <w:numId w:val="41"/>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G</w:t>
      </w:r>
      <w:r w:rsidR="00FD7F27" w:rsidRPr="0094609E">
        <w:rPr>
          <w:rFonts w:ascii="Arial" w:hAnsi="Arial" w:cs="Arial"/>
          <w:color w:val="000000" w:themeColor="text1"/>
          <w:sz w:val="24"/>
          <w:szCs w:val="24"/>
          <w:u w:val="single"/>
        </w:rPr>
        <w:t>astroenterology</w:t>
      </w:r>
    </w:p>
    <w:p w14:paraId="1326E159" w14:textId="41646E25" w:rsidR="00BB7AA8" w:rsidRDefault="00BB7AA8" w:rsidP="00E950D3">
      <w:pPr>
        <w:pStyle w:val="ListParagraph"/>
        <w:numPr>
          <w:ilvl w:val="0"/>
          <w:numId w:val="41"/>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D</w:t>
      </w:r>
      <w:r w:rsidR="00FD7F27" w:rsidRPr="0094609E">
        <w:rPr>
          <w:rFonts w:ascii="Arial" w:hAnsi="Arial" w:cs="Arial"/>
          <w:color w:val="000000" w:themeColor="text1"/>
          <w:sz w:val="24"/>
          <w:szCs w:val="24"/>
          <w:u w:val="single"/>
        </w:rPr>
        <w:t>ermatology</w:t>
      </w:r>
    </w:p>
    <w:p w14:paraId="7209A79F" w14:textId="5FEAD03F" w:rsidR="00B27F50" w:rsidRDefault="00BB7AA8" w:rsidP="00E950D3">
      <w:pPr>
        <w:pStyle w:val="ListParagraph"/>
        <w:numPr>
          <w:ilvl w:val="0"/>
          <w:numId w:val="41"/>
        </w:numPr>
        <w:spacing w:after="24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P</w:t>
      </w:r>
      <w:r w:rsidR="00FD7F27" w:rsidRPr="0094609E">
        <w:rPr>
          <w:rFonts w:ascii="Arial" w:hAnsi="Arial" w:cs="Arial"/>
          <w:color w:val="000000" w:themeColor="text1"/>
          <w:sz w:val="24"/>
          <w:szCs w:val="24"/>
          <w:u w:val="single"/>
        </w:rPr>
        <w:t>odiatry</w:t>
      </w:r>
    </w:p>
    <w:p w14:paraId="0B299672" w14:textId="77777777" w:rsidR="00AE45F8" w:rsidRDefault="00C61134" w:rsidP="006B7E96">
      <w:pPr>
        <w:pStyle w:val="ListParagraph"/>
        <w:numPr>
          <w:ilvl w:val="0"/>
          <w:numId w:val="33"/>
        </w:numPr>
        <w:autoSpaceDE w:val="0"/>
        <w:autoSpaceDN w:val="0"/>
        <w:adjustRightInd w:val="0"/>
        <w:spacing w:after="240"/>
        <w:ind w:left="108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The following specialty types shall each meet a one FTE per 22,000 enrollees ratio</w:t>
      </w:r>
      <w:r w:rsidR="00AE45F8">
        <w:rPr>
          <w:rFonts w:ascii="Arial" w:hAnsi="Arial" w:cs="Arial"/>
          <w:color w:val="000000" w:themeColor="text1"/>
          <w:sz w:val="24"/>
          <w:szCs w:val="24"/>
          <w:u w:val="single"/>
        </w:rPr>
        <w:t>:</w:t>
      </w:r>
    </w:p>
    <w:p w14:paraId="60D33579" w14:textId="4DB4CF48" w:rsidR="00B51F5E" w:rsidRDefault="00B51F5E" w:rsidP="00E950D3">
      <w:pPr>
        <w:pStyle w:val="ListParagraph"/>
        <w:numPr>
          <w:ilvl w:val="0"/>
          <w:numId w:val="42"/>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H</w:t>
      </w:r>
      <w:r w:rsidRPr="0094609E">
        <w:rPr>
          <w:rFonts w:ascii="Arial" w:hAnsi="Arial" w:cs="Arial"/>
          <w:color w:val="000000" w:themeColor="text1"/>
          <w:sz w:val="24"/>
          <w:szCs w:val="24"/>
          <w:u w:val="single"/>
        </w:rPr>
        <w:t>ematology</w:t>
      </w:r>
    </w:p>
    <w:p w14:paraId="64F77D7C" w14:textId="41707281" w:rsidR="00B51F5E" w:rsidRDefault="00B51F5E" w:rsidP="00E950D3">
      <w:pPr>
        <w:pStyle w:val="ListParagraph"/>
        <w:numPr>
          <w:ilvl w:val="0"/>
          <w:numId w:val="42"/>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N</w:t>
      </w:r>
      <w:r w:rsidRPr="0094609E">
        <w:rPr>
          <w:rFonts w:ascii="Arial" w:hAnsi="Arial" w:cs="Arial"/>
          <w:color w:val="000000" w:themeColor="text1"/>
          <w:sz w:val="24"/>
          <w:szCs w:val="24"/>
          <w:u w:val="single"/>
        </w:rPr>
        <w:t>ephrology</w:t>
      </w:r>
    </w:p>
    <w:p w14:paraId="22E2AFDA" w14:textId="225A3BAA" w:rsidR="00B51F5E" w:rsidRDefault="00B51F5E" w:rsidP="00E950D3">
      <w:pPr>
        <w:pStyle w:val="ListParagraph"/>
        <w:numPr>
          <w:ilvl w:val="0"/>
          <w:numId w:val="42"/>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lastRenderedPageBreak/>
        <w:t>P</w:t>
      </w:r>
      <w:r w:rsidRPr="0094609E">
        <w:rPr>
          <w:rFonts w:ascii="Arial" w:hAnsi="Arial" w:cs="Arial"/>
          <w:color w:val="000000" w:themeColor="text1"/>
          <w:sz w:val="24"/>
          <w:szCs w:val="24"/>
          <w:u w:val="single"/>
        </w:rPr>
        <w:t>ain medicine</w:t>
      </w:r>
    </w:p>
    <w:p w14:paraId="719AD41F" w14:textId="67B1965F" w:rsidR="00AE45F8" w:rsidRDefault="00DC09C1" w:rsidP="00E950D3">
      <w:pPr>
        <w:pStyle w:val="ListParagraph"/>
        <w:numPr>
          <w:ilvl w:val="0"/>
          <w:numId w:val="42"/>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O</w:t>
      </w:r>
      <w:r w:rsidR="00FD7F27" w:rsidRPr="0094609E">
        <w:rPr>
          <w:rFonts w:ascii="Arial" w:hAnsi="Arial" w:cs="Arial"/>
          <w:color w:val="000000" w:themeColor="text1"/>
          <w:sz w:val="24"/>
          <w:szCs w:val="24"/>
          <w:u w:val="single"/>
        </w:rPr>
        <w:t>tolaryngology</w:t>
      </w:r>
    </w:p>
    <w:p w14:paraId="1C5CBCB8" w14:textId="7C6D7A06" w:rsidR="00AE45F8" w:rsidRDefault="00DC09C1" w:rsidP="00E950D3">
      <w:pPr>
        <w:pStyle w:val="ListParagraph"/>
        <w:numPr>
          <w:ilvl w:val="0"/>
          <w:numId w:val="42"/>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E</w:t>
      </w:r>
      <w:r w:rsidR="00FD7F27" w:rsidRPr="0094609E">
        <w:rPr>
          <w:rFonts w:ascii="Arial" w:hAnsi="Arial" w:cs="Arial"/>
          <w:color w:val="000000" w:themeColor="text1"/>
          <w:sz w:val="24"/>
          <w:szCs w:val="24"/>
          <w:u w:val="single"/>
        </w:rPr>
        <w:t>ndocrinology</w:t>
      </w:r>
    </w:p>
    <w:p w14:paraId="2C13AACB" w14:textId="3EEADAC5" w:rsidR="00AE45F8" w:rsidRDefault="00DC09C1" w:rsidP="00E950D3">
      <w:pPr>
        <w:pStyle w:val="ListParagraph"/>
        <w:numPr>
          <w:ilvl w:val="0"/>
          <w:numId w:val="42"/>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U</w:t>
      </w:r>
      <w:r w:rsidR="00FD7F27" w:rsidRPr="0094609E">
        <w:rPr>
          <w:rFonts w:ascii="Arial" w:hAnsi="Arial" w:cs="Arial"/>
          <w:color w:val="000000" w:themeColor="text1"/>
          <w:sz w:val="24"/>
          <w:szCs w:val="24"/>
          <w:u w:val="single"/>
        </w:rPr>
        <w:t>rology</w:t>
      </w:r>
    </w:p>
    <w:p w14:paraId="09BCB8D0" w14:textId="43BEFFEB" w:rsidR="00FB0249" w:rsidRDefault="00DC09C1" w:rsidP="00E950D3">
      <w:pPr>
        <w:pStyle w:val="ListParagraph"/>
        <w:numPr>
          <w:ilvl w:val="0"/>
          <w:numId w:val="42"/>
        </w:numPr>
        <w:spacing w:after="24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P</w:t>
      </w:r>
      <w:r w:rsidR="00FD7F27" w:rsidRPr="0094609E">
        <w:rPr>
          <w:rFonts w:ascii="Arial" w:hAnsi="Arial" w:cs="Arial"/>
          <w:color w:val="000000" w:themeColor="text1"/>
          <w:sz w:val="24"/>
          <w:szCs w:val="24"/>
          <w:u w:val="single"/>
        </w:rPr>
        <w:t>hysical medicine and rehabilitation</w:t>
      </w:r>
    </w:p>
    <w:p w14:paraId="1F1CCF5A" w14:textId="5C2627CB" w:rsidR="00AE45F8" w:rsidRDefault="00AE45F8" w:rsidP="006B7E96">
      <w:pPr>
        <w:pStyle w:val="ListParagraph"/>
        <w:numPr>
          <w:ilvl w:val="0"/>
          <w:numId w:val="33"/>
        </w:numPr>
        <w:autoSpaceDE w:val="0"/>
        <w:autoSpaceDN w:val="0"/>
        <w:adjustRightInd w:val="0"/>
        <w:spacing w:after="240"/>
        <w:ind w:left="108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The following specialty types shall each meet a one FTE per 32,000 enrollees ratio</w:t>
      </w:r>
      <w:r w:rsidR="00DC09C1">
        <w:rPr>
          <w:rFonts w:ascii="Arial" w:hAnsi="Arial" w:cs="Arial"/>
          <w:color w:val="000000" w:themeColor="text1"/>
          <w:sz w:val="24"/>
          <w:szCs w:val="24"/>
          <w:u w:val="single"/>
        </w:rPr>
        <w:t>:</w:t>
      </w:r>
    </w:p>
    <w:p w14:paraId="0E12AFA0" w14:textId="465D5FD6" w:rsidR="00AE45F8" w:rsidRDefault="00DC09C1" w:rsidP="00E950D3">
      <w:pPr>
        <w:pStyle w:val="ListParagraph"/>
        <w:numPr>
          <w:ilvl w:val="0"/>
          <w:numId w:val="43"/>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R</w:t>
      </w:r>
      <w:r w:rsidR="005025AB" w:rsidRPr="0094609E">
        <w:rPr>
          <w:rFonts w:ascii="Arial" w:hAnsi="Arial" w:cs="Arial"/>
          <w:color w:val="000000" w:themeColor="text1"/>
          <w:sz w:val="24"/>
          <w:szCs w:val="24"/>
          <w:u w:val="single"/>
        </w:rPr>
        <w:t>heumatology</w:t>
      </w:r>
    </w:p>
    <w:p w14:paraId="4232367B" w14:textId="15869976" w:rsidR="00AE45F8" w:rsidRDefault="00DC09C1" w:rsidP="00E950D3">
      <w:pPr>
        <w:pStyle w:val="ListParagraph"/>
        <w:numPr>
          <w:ilvl w:val="0"/>
          <w:numId w:val="43"/>
        </w:numPr>
        <w:spacing w:after="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R</w:t>
      </w:r>
      <w:r w:rsidR="005025AB" w:rsidRPr="0094609E">
        <w:rPr>
          <w:rFonts w:ascii="Arial" w:hAnsi="Arial" w:cs="Arial"/>
          <w:color w:val="000000" w:themeColor="text1"/>
          <w:sz w:val="24"/>
          <w:szCs w:val="24"/>
          <w:u w:val="single"/>
        </w:rPr>
        <w:t>adiation oncology</w:t>
      </w:r>
    </w:p>
    <w:p w14:paraId="72293D87" w14:textId="00CC4EBA" w:rsidR="00830E70" w:rsidRDefault="00DC09C1" w:rsidP="00E950D3">
      <w:pPr>
        <w:pStyle w:val="ListParagraph"/>
        <w:numPr>
          <w:ilvl w:val="0"/>
          <w:numId w:val="43"/>
        </w:numPr>
        <w:spacing w:after="240"/>
        <w:ind w:left="1800"/>
        <w:contextualSpacing w:val="0"/>
        <w:rPr>
          <w:rFonts w:ascii="Arial" w:hAnsi="Arial" w:cs="Arial"/>
          <w:color w:val="000000" w:themeColor="text1"/>
          <w:sz w:val="24"/>
          <w:szCs w:val="24"/>
          <w:u w:val="single"/>
        </w:rPr>
      </w:pPr>
      <w:r>
        <w:rPr>
          <w:rFonts w:ascii="Arial" w:hAnsi="Arial" w:cs="Arial"/>
          <w:color w:val="000000" w:themeColor="text1"/>
          <w:sz w:val="24"/>
          <w:szCs w:val="24"/>
          <w:u w:val="single"/>
        </w:rPr>
        <w:t>A</w:t>
      </w:r>
      <w:r w:rsidR="005025AB" w:rsidRPr="0094609E">
        <w:rPr>
          <w:rFonts w:ascii="Arial" w:hAnsi="Arial" w:cs="Arial"/>
          <w:color w:val="000000" w:themeColor="text1"/>
          <w:sz w:val="24"/>
          <w:szCs w:val="24"/>
          <w:u w:val="single"/>
        </w:rPr>
        <w:t>llergy/immunology</w:t>
      </w:r>
    </w:p>
    <w:p w14:paraId="7F5FBB71" w14:textId="77777777" w:rsidR="00DA5C12" w:rsidRPr="006A1084" w:rsidRDefault="00DA5C12" w:rsidP="00F310CA">
      <w:pPr>
        <w:pStyle w:val="ListParagraph"/>
        <w:numPr>
          <w:ilvl w:val="0"/>
          <w:numId w:val="13"/>
        </w:numPr>
        <w:spacing w:after="240" w:line="259" w:lineRule="auto"/>
        <w:ind w:left="720"/>
        <w:contextualSpacing w:val="0"/>
        <w:rPr>
          <w:rFonts w:ascii="Arial" w:hAnsi="Arial" w:cs="Arial"/>
          <w:color w:val="000000" w:themeColor="text1"/>
          <w:sz w:val="24"/>
          <w:szCs w:val="24"/>
          <w:u w:val="single"/>
        </w:rPr>
      </w:pPr>
      <w:r w:rsidRPr="006A1084">
        <w:rPr>
          <w:rFonts w:ascii="Arial" w:hAnsi="Arial" w:cs="Arial"/>
          <w:color w:val="000000" w:themeColor="text1"/>
          <w:sz w:val="24"/>
          <w:szCs w:val="24"/>
          <w:u w:val="single"/>
        </w:rPr>
        <w:t>The following additional factors shall apply:</w:t>
      </w:r>
    </w:p>
    <w:p w14:paraId="16A6D15E" w14:textId="283B07AF" w:rsidR="00DA5C12" w:rsidRPr="006847E9" w:rsidRDefault="0094609E" w:rsidP="00F310CA">
      <w:pPr>
        <w:pStyle w:val="ListParagraph"/>
        <w:numPr>
          <w:ilvl w:val="0"/>
          <w:numId w:val="38"/>
        </w:numPr>
        <w:autoSpaceDE w:val="0"/>
        <w:autoSpaceDN w:val="0"/>
        <w:adjustRightInd w:val="0"/>
        <w:spacing w:after="240"/>
        <w:ind w:left="1080"/>
        <w:contextualSpacing w:val="0"/>
        <w:rPr>
          <w:rStyle w:val="xnormaltextrun"/>
          <w:rFonts w:ascii="Arial" w:hAnsi="Arial" w:cs="Arial"/>
          <w:sz w:val="24"/>
          <w:szCs w:val="24"/>
          <w:u w:val="single"/>
          <w:shd w:val="clear" w:color="auto" w:fill="FFFFFF"/>
        </w:rPr>
      </w:pPr>
      <w:r w:rsidRPr="006847E9">
        <w:rPr>
          <w:rFonts w:ascii="Arial" w:hAnsi="Arial" w:cs="Arial"/>
          <w:color w:val="000000" w:themeColor="text1"/>
          <w:sz w:val="24"/>
          <w:szCs w:val="24"/>
          <w:u w:val="single"/>
        </w:rPr>
        <w:t>Each specialist physician type listed above</w:t>
      </w:r>
      <w:r w:rsidR="00DA5C12" w:rsidRPr="006847E9">
        <w:rPr>
          <w:rFonts w:ascii="Arial" w:hAnsi="Arial" w:cs="Arial"/>
          <w:color w:val="000000" w:themeColor="text1"/>
          <w:sz w:val="24"/>
          <w:szCs w:val="24"/>
          <w:u w:val="single"/>
        </w:rPr>
        <w:t xml:space="preserve"> shall include </w:t>
      </w:r>
      <w:r w:rsidR="00DA5C12" w:rsidRPr="006847E9">
        <w:rPr>
          <w:rStyle w:val="xnormaltextrun"/>
          <w:rFonts w:ascii="Arial" w:hAnsi="Arial" w:cs="Arial"/>
          <w:color w:val="000000" w:themeColor="text1"/>
          <w:sz w:val="24"/>
          <w:szCs w:val="24"/>
          <w:u w:val="single"/>
          <w:shd w:val="clear" w:color="auto" w:fill="FFFFFF"/>
        </w:rPr>
        <w:t xml:space="preserve">network providers that offer in-person appointments on an outpatient basis, as defined. </w:t>
      </w:r>
      <w:r w:rsidR="008B453A" w:rsidRPr="006847E9">
        <w:rPr>
          <w:rStyle w:val="xnormaltextrun"/>
          <w:rFonts w:ascii="Arial" w:hAnsi="Arial" w:cs="Arial"/>
          <w:color w:val="000000" w:themeColor="text1"/>
          <w:sz w:val="24"/>
          <w:szCs w:val="24"/>
          <w:u w:val="single"/>
          <w:shd w:val="clear" w:color="auto" w:fill="FFFFFF"/>
        </w:rPr>
        <w:t>The specialist physician type</w:t>
      </w:r>
      <w:r w:rsidR="00DA5C12" w:rsidRPr="006847E9">
        <w:rPr>
          <w:rStyle w:val="xnormaltextrun"/>
          <w:rFonts w:ascii="Arial" w:hAnsi="Arial" w:cs="Arial"/>
          <w:color w:val="000000" w:themeColor="text1"/>
          <w:sz w:val="24"/>
          <w:szCs w:val="24"/>
          <w:u w:val="single"/>
          <w:shd w:val="clear" w:color="auto" w:fill="FFFFFF"/>
        </w:rPr>
        <w:t xml:space="preserve"> may</w:t>
      </w:r>
      <w:r w:rsidR="00DA5C12" w:rsidRPr="006847E9">
        <w:rPr>
          <w:rStyle w:val="xnormaltextrun"/>
          <w:rFonts w:ascii="Arial" w:hAnsi="Arial" w:cs="Arial"/>
          <w:color w:val="000000" w:themeColor="text1"/>
          <w:sz w:val="24"/>
          <w:szCs w:val="24"/>
          <w:shd w:val="clear" w:color="auto" w:fill="FFFFFF"/>
        </w:rPr>
        <w:t xml:space="preserve"> </w:t>
      </w:r>
      <w:r w:rsidR="00DA5C12" w:rsidRPr="006847E9">
        <w:rPr>
          <w:rStyle w:val="xnormaltextrun"/>
          <w:rFonts w:ascii="Arial" w:hAnsi="Arial" w:cs="Arial"/>
          <w:sz w:val="24"/>
          <w:szCs w:val="24"/>
          <w:u w:val="single"/>
          <w:shd w:val="clear" w:color="auto" w:fill="FFFFFF"/>
        </w:rPr>
        <w:t xml:space="preserve">also include telehealth-only network providers, as defined, </w:t>
      </w:r>
      <w:r w:rsidR="00DA5C12" w:rsidRPr="006847E9">
        <w:rPr>
          <w:rFonts w:ascii="Arial" w:hAnsi="Arial" w:cs="Arial"/>
          <w:sz w:val="24"/>
          <w:szCs w:val="24"/>
          <w:u w:val="single"/>
        </w:rPr>
        <w:t>subject to the limitations in section D. below</w:t>
      </w:r>
      <w:r w:rsidR="00DA5C12" w:rsidRPr="006847E9">
        <w:rPr>
          <w:rStyle w:val="xnormaltextrun"/>
          <w:rFonts w:ascii="Arial" w:hAnsi="Arial" w:cs="Arial"/>
          <w:sz w:val="24"/>
          <w:szCs w:val="24"/>
          <w:u w:val="single"/>
          <w:shd w:val="clear" w:color="auto" w:fill="FFFFFF"/>
        </w:rPr>
        <w:t>.</w:t>
      </w:r>
    </w:p>
    <w:p w14:paraId="18BACB9B" w14:textId="2186F616" w:rsidR="00DA5C12" w:rsidRPr="006847E9" w:rsidRDefault="006847E9" w:rsidP="00F310CA">
      <w:pPr>
        <w:pStyle w:val="ListParagraph"/>
        <w:numPr>
          <w:ilvl w:val="0"/>
          <w:numId w:val="38"/>
        </w:numPr>
        <w:autoSpaceDE w:val="0"/>
        <w:autoSpaceDN w:val="0"/>
        <w:adjustRightInd w:val="0"/>
        <w:spacing w:after="240"/>
        <w:ind w:left="1080"/>
        <w:contextualSpacing w:val="0"/>
        <w:rPr>
          <w:rFonts w:ascii="Arial" w:hAnsi="Arial" w:cs="Arial"/>
          <w:sz w:val="24"/>
          <w:szCs w:val="24"/>
          <w:u w:val="single"/>
          <w:shd w:val="clear" w:color="auto" w:fill="FFFFFF"/>
        </w:rPr>
      </w:pPr>
      <w:r w:rsidRPr="006847E9">
        <w:rPr>
          <w:rFonts w:ascii="Arial" w:hAnsi="Arial" w:cs="Arial"/>
          <w:sz w:val="24"/>
          <w:szCs w:val="24"/>
          <w:u w:val="single"/>
        </w:rPr>
        <w:t xml:space="preserve">Each county within a plan’s network service area </w:t>
      </w:r>
      <w:r w:rsidR="005C4FB3">
        <w:rPr>
          <w:rFonts w:ascii="Arial" w:hAnsi="Arial" w:cs="Arial"/>
          <w:sz w:val="24"/>
          <w:szCs w:val="24"/>
          <w:u w:val="single"/>
        </w:rPr>
        <w:t xml:space="preserve">must </w:t>
      </w:r>
      <w:r w:rsidRPr="006847E9">
        <w:rPr>
          <w:rFonts w:ascii="Arial" w:hAnsi="Arial" w:cs="Arial"/>
          <w:sz w:val="24"/>
          <w:szCs w:val="24"/>
          <w:u w:val="single"/>
        </w:rPr>
        <w:t xml:space="preserve">include a minimum enrollment count of 25 enrollees for CEAC counties, and 50 enrollees for Rural, Metro, Large Metro and Micro counties when calculating ratios. If the </w:t>
      </w:r>
      <w:r w:rsidR="00C91F91">
        <w:rPr>
          <w:rFonts w:ascii="Arial" w:hAnsi="Arial" w:cs="Arial"/>
          <w:sz w:val="24"/>
          <w:szCs w:val="24"/>
          <w:u w:val="single"/>
        </w:rPr>
        <w:t>plan’</w:t>
      </w:r>
      <w:r w:rsidR="0003251B">
        <w:rPr>
          <w:rFonts w:ascii="Arial" w:hAnsi="Arial" w:cs="Arial"/>
          <w:sz w:val="24"/>
          <w:szCs w:val="24"/>
          <w:u w:val="single"/>
        </w:rPr>
        <w:t xml:space="preserve">s reported </w:t>
      </w:r>
      <w:r w:rsidRPr="006847E9">
        <w:rPr>
          <w:rFonts w:ascii="Arial" w:hAnsi="Arial" w:cs="Arial"/>
          <w:sz w:val="24"/>
          <w:szCs w:val="24"/>
          <w:u w:val="single"/>
        </w:rPr>
        <w:t xml:space="preserve">enrollment in a county </w:t>
      </w:r>
      <w:r w:rsidR="00D70ECF">
        <w:rPr>
          <w:rFonts w:ascii="Arial" w:hAnsi="Arial" w:cs="Arial"/>
          <w:sz w:val="24"/>
          <w:szCs w:val="24"/>
          <w:u w:val="single"/>
        </w:rPr>
        <w:t xml:space="preserve">for the network </w:t>
      </w:r>
      <w:r w:rsidRPr="006847E9">
        <w:rPr>
          <w:rFonts w:ascii="Arial" w:hAnsi="Arial" w:cs="Arial"/>
          <w:sz w:val="24"/>
          <w:szCs w:val="24"/>
          <w:u w:val="single"/>
        </w:rPr>
        <w:t>is less than the minimum enrollment count, the county shall be allocated the minimum enrollment</w:t>
      </w:r>
      <w:r w:rsidR="00541EEB">
        <w:rPr>
          <w:rFonts w:ascii="Arial" w:hAnsi="Arial" w:cs="Arial"/>
          <w:sz w:val="24"/>
          <w:szCs w:val="24"/>
          <w:u w:val="single"/>
        </w:rPr>
        <w:t xml:space="preserve"> count</w:t>
      </w:r>
      <w:r w:rsidRPr="006847E9">
        <w:rPr>
          <w:rFonts w:ascii="Arial" w:hAnsi="Arial" w:cs="Arial"/>
          <w:sz w:val="24"/>
          <w:szCs w:val="24"/>
          <w:u w:val="single"/>
        </w:rPr>
        <w:t xml:space="preserve"> for the purposes of calculating the ratio.</w:t>
      </w:r>
    </w:p>
    <w:p w14:paraId="5121C596" w14:textId="77777777" w:rsidR="00DA5C12" w:rsidRPr="0077211F" w:rsidRDefault="00DA5C12" w:rsidP="008D6996">
      <w:pPr>
        <w:pStyle w:val="Heading3"/>
        <w:ind w:left="1080"/>
        <w:rPr>
          <w:rFonts w:cs="Arial"/>
          <w:bCs/>
          <w:sz w:val="28"/>
          <w:szCs w:val="28"/>
        </w:rPr>
      </w:pPr>
      <w:r w:rsidRPr="0077211F">
        <w:t>FTE Value for In-Person Network Providers</w:t>
      </w:r>
    </w:p>
    <w:p w14:paraId="17A5E1E3" w14:textId="14A87688" w:rsidR="00DA5C12" w:rsidRPr="0077211F" w:rsidRDefault="00DA5C12" w:rsidP="005B1075">
      <w:pPr>
        <w:pStyle w:val="ListParagraph"/>
        <w:numPr>
          <w:ilvl w:val="0"/>
          <w:numId w:val="14"/>
        </w:numPr>
        <w:spacing w:after="240" w:line="259" w:lineRule="auto"/>
        <w:ind w:left="720"/>
        <w:contextualSpacing w:val="0"/>
        <w:rPr>
          <w:rFonts w:ascii="Arial" w:hAnsi="Arial" w:cs="Arial"/>
          <w:sz w:val="24"/>
          <w:szCs w:val="24"/>
          <w:u w:val="single"/>
        </w:rPr>
      </w:pPr>
      <w:r w:rsidRPr="0077211F">
        <w:rPr>
          <w:rFonts w:ascii="Arial" w:hAnsi="Arial" w:cs="Arial"/>
          <w:sz w:val="24"/>
          <w:szCs w:val="24"/>
          <w:u w:val="single"/>
        </w:rPr>
        <w:t xml:space="preserve">FTE Value: The FTE Value for an in-person </w:t>
      </w:r>
      <w:r w:rsidR="000A7EC0">
        <w:rPr>
          <w:rFonts w:ascii="Arial" w:hAnsi="Arial" w:cs="Arial"/>
          <w:sz w:val="24"/>
          <w:szCs w:val="24"/>
          <w:u w:val="single"/>
        </w:rPr>
        <w:t>specialist physician</w:t>
      </w:r>
      <w:r w:rsidRPr="0077211F">
        <w:rPr>
          <w:rFonts w:ascii="Arial" w:hAnsi="Arial" w:cs="Arial"/>
          <w:sz w:val="24"/>
          <w:szCs w:val="24"/>
          <w:u w:val="single"/>
        </w:rPr>
        <w:t xml:space="preserve"> shall comprise the FTE Starting Value and FTE Starting Value Adjustments that are applicable to the </w:t>
      </w:r>
      <w:r w:rsidR="00D56BFE">
        <w:rPr>
          <w:rFonts w:ascii="Arial" w:hAnsi="Arial" w:cs="Arial"/>
          <w:sz w:val="24"/>
          <w:szCs w:val="24"/>
          <w:u w:val="single"/>
        </w:rPr>
        <w:t>specialist physician</w:t>
      </w:r>
      <w:r w:rsidRPr="0077211F">
        <w:rPr>
          <w:rFonts w:ascii="Arial" w:hAnsi="Arial" w:cs="Arial"/>
          <w:sz w:val="24"/>
          <w:szCs w:val="24"/>
          <w:u w:val="single"/>
        </w:rPr>
        <w:t>, as follows:</w:t>
      </w:r>
    </w:p>
    <w:p w14:paraId="51D78580" w14:textId="43E48CFA" w:rsidR="00DA5C12" w:rsidRPr="0077211F" w:rsidRDefault="00DA5C12" w:rsidP="00F310CA">
      <w:pPr>
        <w:pStyle w:val="ListParagraph"/>
        <w:numPr>
          <w:ilvl w:val="1"/>
          <w:numId w:val="8"/>
        </w:numPr>
        <w:spacing w:after="240"/>
        <w:ind w:left="1080"/>
        <w:contextualSpacing w:val="0"/>
        <w:rPr>
          <w:rFonts w:ascii="Arial" w:hAnsi="Arial" w:cs="Arial"/>
          <w:sz w:val="24"/>
          <w:szCs w:val="24"/>
          <w:u w:val="single"/>
        </w:rPr>
      </w:pPr>
      <w:r w:rsidRPr="0077211F">
        <w:rPr>
          <w:rFonts w:ascii="Arial" w:hAnsi="Arial" w:cs="Arial"/>
          <w:sz w:val="24"/>
          <w:szCs w:val="24"/>
          <w:u w:val="single"/>
        </w:rPr>
        <w:t>FTE Starting Value</w:t>
      </w:r>
      <w:r w:rsidRPr="0077211F">
        <w:rPr>
          <w:rFonts w:ascii="Arial" w:hAnsi="Arial" w:cs="Arial"/>
          <w:b/>
          <w:bCs/>
          <w:sz w:val="24"/>
          <w:szCs w:val="24"/>
          <w:u w:val="single"/>
        </w:rPr>
        <w:t xml:space="preserve"> </w:t>
      </w:r>
      <w:r w:rsidRPr="0077211F">
        <w:rPr>
          <w:rFonts w:ascii="Arial" w:hAnsi="Arial" w:cs="Arial"/>
          <w:sz w:val="24"/>
          <w:szCs w:val="24"/>
          <w:u w:val="single"/>
        </w:rPr>
        <w:t xml:space="preserve">– In-person </w:t>
      </w:r>
      <w:r w:rsidR="00D56BFE">
        <w:rPr>
          <w:rFonts w:ascii="Arial" w:hAnsi="Arial" w:cs="Arial"/>
          <w:sz w:val="24"/>
          <w:szCs w:val="24"/>
          <w:u w:val="single"/>
        </w:rPr>
        <w:t>specialist physicians</w:t>
      </w:r>
      <w:r w:rsidRPr="0077211F">
        <w:rPr>
          <w:rFonts w:ascii="Arial" w:hAnsi="Arial" w:cs="Arial"/>
          <w:sz w:val="24"/>
          <w:szCs w:val="24"/>
          <w:u w:val="single"/>
        </w:rPr>
        <w:t xml:space="preserve"> shall receive an FTE starting value based on the reported county type in which the network provider delivers services. County types are set forth according to the county designations released by CMS, available at </w:t>
      </w:r>
      <w:hyperlink r:id="rId12" w:history="1">
        <w:r w:rsidR="005C239C" w:rsidRPr="00D516A5">
          <w:rPr>
            <w:rStyle w:val="Hyperlink"/>
            <w:rFonts w:ascii="Arial" w:hAnsi="Arial" w:cs="Arial"/>
            <w:color w:val="12539F"/>
            <w:sz w:val="24"/>
            <w:szCs w:val="24"/>
          </w:rPr>
          <w:t>www.cms.gov</w:t>
        </w:r>
      </w:hyperlink>
      <w:r w:rsidRPr="0077211F">
        <w:rPr>
          <w:rFonts w:ascii="Arial" w:hAnsi="Arial" w:cs="Arial"/>
          <w:sz w:val="24"/>
          <w:szCs w:val="24"/>
          <w:u w:val="single"/>
        </w:rPr>
        <w:t>.</w:t>
      </w:r>
    </w:p>
    <w:p w14:paraId="542956A4" w14:textId="31FA13DE" w:rsidR="00DA5C12" w:rsidRPr="0077211F" w:rsidRDefault="00DA5C12" w:rsidP="00A711E7">
      <w:pPr>
        <w:pStyle w:val="ListParagraph"/>
        <w:numPr>
          <w:ilvl w:val="0"/>
          <w:numId w:val="39"/>
        </w:numPr>
        <w:spacing w:after="240"/>
        <w:ind w:left="1800"/>
        <w:contextualSpacing w:val="0"/>
        <w:rPr>
          <w:rFonts w:ascii="Arial" w:hAnsi="Arial" w:cs="Arial"/>
          <w:sz w:val="24"/>
          <w:szCs w:val="24"/>
          <w:u w:val="single"/>
        </w:rPr>
      </w:pPr>
      <w:r w:rsidRPr="0077211F">
        <w:rPr>
          <w:rFonts w:ascii="Arial" w:hAnsi="Arial" w:cs="Arial"/>
          <w:sz w:val="24"/>
          <w:szCs w:val="24"/>
          <w:u w:val="single"/>
        </w:rPr>
        <w:t xml:space="preserve">The FTE starting value is based on the typical number of </w:t>
      </w:r>
      <w:r w:rsidR="005A6D1A" w:rsidRPr="0077211F">
        <w:rPr>
          <w:rFonts w:ascii="Arial" w:hAnsi="Arial" w:cs="Arial"/>
          <w:sz w:val="24"/>
          <w:szCs w:val="24"/>
          <w:u w:val="single"/>
        </w:rPr>
        <w:t xml:space="preserve">plans and </w:t>
      </w:r>
      <w:r w:rsidRPr="0077211F">
        <w:rPr>
          <w:rFonts w:ascii="Arial" w:hAnsi="Arial" w:cs="Arial"/>
          <w:sz w:val="24"/>
          <w:szCs w:val="24"/>
          <w:u w:val="single"/>
        </w:rPr>
        <w:t xml:space="preserve">networks </w:t>
      </w:r>
      <w:r w:rsidR="001E064D">
        <w:rPr>
          <w:rFonts w:ascii="Arial" w:hAnsi="Arial" w:cs="Arial"/>
          <w:sz w:val="24"/>
          <w:szCs w:val="24"/>
          <w:u w:val="single"/>
        </w:rPr>
        <w:t xml:space="preserve">the specialist physician type </w:t>
      </w:r>
      <w:r w:rsidRPr="0077211F">
        <w:rPr>
          <w:rFonts w:ascii="Arial" w:hAnsi="Arial" w:cs="Arial"/>
          <w:sz w:val="24"/>
          <w:szCs w:val="24"/>
          <w:u w:val="single"/>
        </w:rPr>
        <w:t>contracts with, by count</w:t>
      </w:r>
      <w:r w:rsidR="003D6D0C" w:rsidRPr="0077211F">
        <w:rPr>
          <w:rFonts w:ascii="Arial" w:hAnsi="Arial" w:cs="Arial"/>
          <w:sz w:val="24"/>
          <w:szCs w:val="24"/>
          <w:u w:val="single"/>
        </w:rPr>
        <w:t>y</w:t>
      </w:r>
      <w:r w:rsidRPr="0077211F">
        <w:rPr>
          <w:rFonts w:ascii="Arial" w:hAnsi="Arial" w:cs="Arial"/>
          <w:sz w:val="24"/>
          <w:szCs w:val="24"/>
          <w:u w:val="single"/>
        </w:rPr>
        <w:t xml:space="preserve"> type, based on network data reported to the DMHC.</w:t>
      </w:r>
      <w:r w:rsidR="00484ECA" w:rsidRPr="0077211F">
        <w:rPr>
          <w:rFonts w:ascii="Arial" w:hAnsi="Arial" w:cs="Arial"/>
          <w:sz w:val="24"/>
          <w:szCs w:val="24"/>
          <w:u w:val="single"/>
        </w:rPr>
        <w:t xml:space="preserve"> This calculation takes into account the total number of networks across all of the different health plans with which a </w:t>
      </w:r>
      <w:r w:rsidR="00460F76">
        <w:rPr>
          <w:rFonts w:ascii="Arial" w:hAnsi="Arial" w:cs="Arial"/>
          <w:sz w:val="24"/>
          <w:szCs w:val="24"/>
          <w:u w:val="single"/>
        </w:rPr>
        <w:t xml:space="preserve">network </w:t>
      </w:r>
      <w:r w:rsidR="00484ECA" w:rsidRPr="0077211F">
        <w:rPr>
          <w:rFonts w:ascii="Arial" w:hAnsi="Arial" w:cs="Arial"/>
          <w:sz w:val="24"/>
          <w:szCs w:val="24"/>
          <w:u w:val="single"/>
        </w:rPr>
        <w:t>provider is likely to be contracted in the county type.</w:t>
      </w:r>
    </w:p>
    <w:p w14:paraId="50EDB4EF" w14:textId="06530C56" w:rsidR="00DA5C12" w:rsidRPr="0077211F" w:rsidRDefault="00DA5C12" w:rsidP="00E950D3">
      <w:pPr>
        <w:pStyle w:val="ListParagraph"/>
        <w:numPr>
          <w:ilvl w:val="0"/>
          <w:numId w:val="39"/>
        </w:numPr>
        <w:spacing w:after="240"/>
        <w:ind w:left="1800"/>
        <w:contextualSpacing w:val="0"/>
        <w:rPr>
          <w:rFonts w:ascii="Arial" w:hAnsi="Arial" w:cs="Arial"/>
          <w:sz w:val="24"/>
          <w:szCs w:val="24"/>
          <w:u w:val="single"/>
        </w:rPr>
      </w:pPr>
      <w:r w:rsidRPr="0077211F">
        <w:rPr>
          <w:rFonts w:ascii="Arial" w:hAnsi="Arial" w:cs="Arial"/>
          <w:sz w:val="24"/>
          <w:szCs w:val="24"/>
          <w:u w:val="single"/>
        </w:rPr>
        <w:lastRenderedPageBreak/>
        <w:t xml:space="preserve">A complete list of potential FTE Starting Values, based on county type, is available in the attached </w:t>
      </w:r>
      <w:r w:rsidRPr="0077211F">
        <w:rPr>
          <w:rFonts w:ascii="Arial" w:hAnsi="Arial" w:cs="Arial"/>
          <w:b/>
          <w:sz w:val="24"/>
          <w:szCs w:val="24"/>
          <w:u w:val="single"/>
        </w:rPr>
        <w:t xml:space="preserve">Schedule </w:t>
      </w:r>
      <w:r w:rsidR="00E3738A">
        <w:rPr>
          <w:rFonts w:ascii="Arial" w:hAnsi="Arial" w:cs="Arial"/>
          <w:b/>
          <w:sz w:val="24"/>
          <w:szCs w:val="24"/>
          <w:u w:val="single"/>
        </w:rPr>
        <w:t>D</w:t>
      </w:r>
      <w:r w:rsidRPr="0077211F">
        <w:rPr>
          <w:rFonts w:ascii="Arial" w:hAnsi="Arial" w:cs="Arial"/>
          <w:sz w:val="24"/>
          <w:szCs w:val="24"/>
          <w:u w:val="single"/>
        </w:rPr>
        <w:t>.</w:t>
      </w:r>
    </w:p>
    <w:p w14:paraId="4A43091E" w14:textId="2BA6121B" w:rsidR="00DA5C12" w:rsidRPr="007B1639" w:rsidRDefault="00DA5C12" w:rsidP="006C7080">
      <w:pPr>
        <w:pStyle w:val="ListParagraph"/>
        <w:numPr>
          <w:ilvl w:val="1"/>
          <w:numId w:val="8"/>
        </w:numPr>
        <w:spacing w:after="240"/>
        <w:ind w:left="1080"/>
        <w:contextualSpacing w:val="0"/>
        <w:rPr>
          <w:rFonts w:ascii="Arial" w:hAnsi="Arial" w:cs="Arial"/>
          <w:color w:val="000000" w:themeColor="text1"/>
          <w:sz w:val="24"/>
          <w:szCs w:val="24"/>
          <w:u w:val="single"/>
        </w:rPr>
      </w:pPr>
      <w:r w:rsidRPr="0077211F">
        <w:rPr>
          <w:rFonts w:ascii="Arial" w:hAnsi="Arial" w:cs="Arial"/>
          <w:color w:val="000000" w:themeColor="text1"/>
          <w:sz w:val="24"/>
          <w:szCs w:val="24"/>
          <w:u w:val="single"/>
        </w:rPr>
        <w:t xml:space="preserve">FTE Starting Value </w:t>
      </w:r>
      <w:r w:rsidRPr="007B1639">
        <w:rPr>
          <w:rFonts w:ascii="Arial" w:hAnsi="Arial" w:cs="Arial"/>
          <w:color w:val="000000" w:themeColor="text1"/>
          <w:sz w:val="24"/>
          <w:szCs w:val="24"/>
          <w:u w:val="single"/>
        </w:rPr>
        <w:t xml:space="preserve">Adjustments – </w:t>
      </w:r>
      <w:r w:rsidR="00084DA2" w:rsidRPr="007B1639">
        <w:rPr>
          <w:rFonts w:ascii="Arial" w:hAnsi="Arial" w:cs="Arial"/>
          <w:color w:val="000000" w:themeColor="text1"/>
          <w:sz w:val="24"/>
          <w:szCs w:val="24"/>
          <w:u w:val="single"/>
        </w:rPr>
        <w:t>W</w:t>
      </w:r>
      <w:r w:rsidR="00E01658" w:rsidRPr="007B1639">
        <w:rPr>
          <w:rFonts w:ascii="Arial" w:hAnsi="Arial" w:cs="Arial"/>
          <w:color w:val="000000" w:themeColor="text1"/>
          <w:sz w:val="24"/>
          <w:szCs w:val="24"/>
          <w:u w:val="single"/>
        </w:rPr>
        <w:t xml:space="preserve">hen evaluating whether each county within the network meets the established ratio standard for a particular specialty type, </w:t>
      </w:r>
      <w:r w:rsidR="00357719" w:rsidRPr="007B1639">
        <w:rPr>
          <w:rFonts w:ascii="Arial" w:hAnsi="Arial" w:cs="Arial"/>
          <w:color w:val="000000" w:themeColor="text1"/>
          <w:sz w:val="24"/>
          <w:szCs w:val="24"/>
          <w:u w:val="single"/>
        </w:rPr>
        <w:t>the FTE starting values for providers within the county being evaluated may be adjusted under certain circumstances. T</w:t>
      </w:r>
      <w:r w:rsidRPr="007B1639">
        <w:rPr>
          <w:rFonts w:ascii="Arial" w:hAnsi="Arial" w:cs="Arial"/>
          <w:color w:val="000000" w:themeColor="text1"/>
          <w:sz w:val="24"/>
          <w:szCs w:val="24"/>
          <w:u w:val="single"/>
        </w:rPr>
        <w:t xml:space="preserve">he FTE starting value for each reported </w:t>
      </w:r>
      <w:r w:rsidR="00460F76" w:rsidRPr="007B1639">
        <w:rPr>
          <w:rFonts w:ascii="Arial" w:hAnsi="Arial" w:cs="Arial"/>
          <w:color w:val="000000" w:themeColor="text1"/>
          <w:sz w:val="24"/>
          <w:szCs w:val="24"/>
          <w:u w:val="single"/>
        </w:rPr>
        <w:t>specialist physician</w:t>
      </w:r>
      <w:r w:rsidRPr="007B1639">
        <w:rPr>
          <w:rFonts w:ascii="Arial" w:hAnsi="Arial" w:cs="Arial"/>
          <w:color w:val="000000" w:themeColor="text1"/>
          <w:sz w:val="24"/>
          <w:szCs w:val="24"/>
          <w:u w:val="single"/>
        </w:rPr>
        <w:t xml:space="preserve"> within each county shall be adjusted for the following factors, as applicable:</w:t>
      </w:r>
    </w:p>
    <w:p w14:paraId="08C1AB01" w14:textId="5A67088A" w:rsidR="00DA5C12" w:rsidRPr="007B1639" w:rsidRDefault="00DA5C12" w:rsidP="00E950D3">
      <w:pPr>
        <w:pStyle w:val="ListParagraph"/>
        <w:numPr>
          <w:ilvl w:val="0"/>
          <w:numId w:val="20"/>
        </w:numPr>
        <w:spacing w:after="240"/>
        <w:ind w:left="1800"/>
        <w:contextualSpacing w:val="0"/>
        <w:rPr>
          <w:rFonts w:ascii="Arial" w:eastAsia="Times New Roman" w:hAnsi="Arial" w:cs="Arial"/>
          <w:color w:val="000000" w:themeColor="text1"/>
          <w:sz w:val="24"/>
          <w:szCs w:val="24"/>
          <w:u w:val="single"/>
        </w:rPr>
      </w:pPr>
      <w:r w:rsidRPr="007B1639">
        <w:rPr>
          <w:rFonts w:ascii="Arial" w:eastAsia="Times New Roman" w:hAnsi="Arial" w:cs="Arial"/>
          <w:b/>
          <w:bCs/>
          <w:color w:val="000000" w:themeColor="text1"/>
          <w:sz w:val="24"/>
          <w:szCs w:val="24"/>
          <w:u w:val="single"/>
        </w:rPr>
        <w:t>Part-Time</w:t>
      </w:r>
      <w:r w:rsidRPr="007B1639">
        <w:rPr>
          <w:rFonts w:ascii="Arial" w:eastAsia="Times New Roman" w:hAnsi="Arial" w:cs="Arial"/>
          <w:color w:val="000000" w:themeColor="text1"/>
          <w:sz w:val="24"/>
          <w:szCs w:val="24"/>
          <w:u w:val="single"/>
        </w:rPr>
        <w:t xml:space="preserve"> </w:t>
      </w:r>
      <w:r w:rsidRPr="007B1639">
        <w:rPr>
          <w:rFonts w:ascii="Arial" w:eastAsia="Times New Roman" w:hAnsi="Arial" w:cs="Arial"/>
          <w:b/>
          <w:bCs/>
          <w:color w:val="000000" w:themeColor="text1"/>
          <w:sz w:val="24"/>
          <w:szCs w:val="24"/>
          <w:u w:val="single"/>
        </w:rPr>
        <w:t>and Practice Location(s) in One County</w:t>
      </w:r>
      <w:r w:rsidR="002C39A2" w:rsidRPr="007B1639">
        <w:rPr>
          <w:rFonts w:ascii="Arial" w:eastAsia="Times New Roman" w:hAnsi="Arial" w:cs="Arial"/>
          <w:b/>
          <w:bCs/>
          <w:color w:val="000000" w:themeColor="text1"/>
          <w:sz w:val="24"/>
          <w:szCs w:val="24"/>
          <w:u w:val="single"/>
        </w:rPr>
        <w:t xml:space="preserve"> </w:t>
      </w:r>
      <w:r w:rsidRPr="007B1639">
        <w:rPr>
          <w:rFonts w:ascii="Arial" w:eastAsia="Times New Roman" w:hAnsi="Arial" w:cs="Arial"/>
          <w:color w:val="000000" w:themeColor="text1"/>
          <w:sz w:val="24"/>
          <w:szCs w:val="24"/>
          <w:u w:val="single"/>
        </w:rPr>
        <w:t xml:space="preserve">– Part-time network </w:t>
      </w:r>
      <w:r w:rsidRPr="00286754">
        <w:rPr>
          <w:rFonts w:ascii="Arial" w:eastAsia="Times New Roman" w:hAnsi="Arial" w:cs="Arial"/>
          <w:sz w:val="24"/>
          <w:szCs w:val="24"/>
          <w:u w:val="single"/>
        </w:rPr>
        <w:t xml:space="preserve">providers </w:t>
      </w:r>
      <w:r w:rsidR="004C645B" w:rsidRPr="00286754">
        <w:rPr>
          <w:rFonts w:ascii="Arial" w:eastAsia="Times New Roman" w:hAnsi="Arial" w:cs="Arial"/>
          <w:sz w:val="24"/>
          <w:szCs w:val="24"/>
          <w:u w:val="single"/>
        </w:rPr>
        <w:t xml:space="preserve">reported as practicing in only one county </w:t>
      </w:r>
      <w:r w:rsidRPr="007B1639">
        <w:rPr>
          <w:rFonts w:ascii="Arial" w:eastAsia="Times New Roman" w:hAnsi="Arial" w:cs="Arial"/>
          <w:color w:val="000000" w:themeColor="text1"/>
          <w:sz w:val="24"/>
          <w:szCs w:val="24"/>
          <w:u w:val="single"/>
        </w:rPr>
        <w:t xml:space="preserve">have an adjusted starting value of 60% of the </w:t>
      </w:r>
      <w:r w:rsidR="003B4C56" w:rsidRPr="007B1639">
        <w:rPr>
          <w:rFonts w:ascii="Arial" w:eastAsia="Times New Roman" w:hAnsi="Arial" w:cs="Arial"/>
          <w:color w:val="000000" w:themeColor="text1"/>
          <w:sz w:val="24"/>
          <w:szCs w:val="24"/>
          <w:u w:val="single"/>
        </w:rPr>
        <w:t xml:space="preserve">established FTE starting value for that specialty type and </w:t>
      </w:r>
      <w:r w:rsidR="00DE4500" w:rsidRPr="007B1639">
        <w:rPr>
          <w:rFonts w:ascii="Arial" w:eastAsia="Times New Roman" w:hAnsi="Arial" w:cs="Arial"/>
          <w:color w:val="000000" w:themeColor="text1"/>
          <w:sz w:val="24"/>
          <w:szCs w:val="24"/>
          <w:u w:val="single"/>
        </w:rPr>
        <w:t>county type</w:t>
      </w:r>
      <w:r w:rsidR="00F33845" w:rsidRPr="007B1639">
        <w:rPr>
          <w:rFonts w:ascii="Arial" w:eastAsia="Times New Roman" w:hAnsi="Arial" w:cs="Arial"/>
          <w:color w:val="000000" w:themeColor="text1"/>
          <w:sz w:val="24"/>
          <w:szCs w:val="24"/>
          <w:u w:val="single"/>
        </w:rPr>
        <w:t xml:space="preserve">. The </w:t>
      </w:r>
      <w:r w:rsidR="00C205F8" w:rsidRPr="007B1639">
        <w:rPr>
          <w:rFonts w:ascii="Arial" w:eastAsia="Times New Roman" w:hAnsi="Arial" w:cs="Arial"/>
          <w:color w:val="000000" w:themeColor="text1"/>
          <w:sz w:val="24"/>
          <w:szCs w:val="24"/>
          <w:u w:val="single"/>
        </w:rPr>
        <w:t xml:space="preserve">adjustment shall be calculated </w:t>
      </w:r>
      <w:r w:rsidR="003B6CEA" w:rsidRPr="007B1639">
        <w:rPr>
          <w:rFonts w:ascii="Arial" w:eastAsia="Times New Roman" w:hAnsi="Arial" w:cs="Arial"/>
          <w:color w:val="000000" w:themeColor="text1"/>
          <w:sz w:val="24"/>
          <w:szCs w:val="24"/>
          <w:u w:val="single"/>
        </w:rPr>
        <w:t>as a percentage of</w:t>
      </w:r>
      <w:r w:rsidR="00C205F8" w:rsidRPr="007B1639">
        <w:rPr>
          <w:rFonts w:ascii="Arial" w:eastAsia="Times New Roman" w:hAnsi="Arial" w:cs="Arial"/>
          <w:color w:val="000000" w:themeColor="text1"/>
          <w:sz w:val="24"/>
          <w:szCs w:val="24"/>
          <w:u w:val="single"/>
        </w:rPr>
        <w:t xml:space="preserve"> the </w:t>
      </w:r>
      <w:r w:rsidR="00F33845" w:rsidRPr="007B1639">
        <w:rPr>
          <w:rFonts w:ascii="Arial" w:eastAsia="Times New Roman" w:hAnsi="Arial" w:cs="Arial"/>
          <w:color w:val="000000" w:themeColor="text1"/>
          <w:sz w:val="24"/>
          <w:szCs w:val="24"/>
          <w:u w:val="single"/>
        </w:rPr>
        <w:t xml:space="preserve">starting value </w:t>
      </w:r>
      <w:r w:rsidR="00C205F8" w:rsidRPr="007B1639">
        <w:rPr>
          <w:rFonts w:ascii="Arial" w:eastAsia="Times New Roman" w:hAnsi="Arial" w:cs="Arial"/>
          <w:color w:val="000000" w:themeColor="text1"/>
          <w:sz w:val="24"/>
          <w:szCs w:val="24"/>
          <w:u w:val="single"/>
        </w:rPr>
        <w:t>of</w:t>
      </w:r>
      <w:r w:rsidR="003B6CEA" w:rsidRPr="007B1639">
        <w:rPr>
          <w:rFonts w:ascii="Arial" w:eastAsia="Times New Roman" w:hAnsi="Arial" w:cs="Arial"/>
          <w:color w:val="000000" w:themeColor="text1"/>
          <w:sz w:val="24"/>
          <w:szCs w:val="24"/>
          <w:u w:val="single"/>
        </w:rPr>
        <w:t xml:space="preserve"> a full-time network provider with</w:t>
      </w:r>
      <w:r w:rsidRPr="007B1639">
        <w:rPr>
          <w:rFonts w:ascii="Arial" w:eastAsia="Times New Roman" w:hAnsi="Arial" w:cs="Arial"/>
          <w:color w:val="000000" w:themeColor="text1"/>
          <w:sz w:val="24"/>
          <w:szCs w:val="24"/>
          <w:u w:val="single"/>
        </w:rPr>
        <w:t xml:space="preserve"> a practice location or locations in </w:t>
      </w:r>
      <w:r w:rsidR="003515A2" w:rsidRPr="007B1639">
        <w:rPr>
          <w:rFonts w:ascii="Arial" w:eastAsia="Times New Roman" w:hAnsi="Arial" w:cs="Arial"/>
          <w:color w:val="000000" w:themeColor="text1"/>
          <w:sz w:val="24"/>
          <w:szCs w:val="24"/>
          <w:u w:val="single"/>
        </w:rPr>
        <w:t>the</w:t>
      </w:r>
      <w:r w:rsidRPr="007B1639">
        <w:rPr>
          <w:rFonts w:ascii="Arial" w:eastAsia="Times New Roman" w:hAnsi="Arial" w:cs="Arial"/>
          <w:color w:val="000000" w:themeColor="text1"/>
          <w:sz w:val="24"/>
          <w:szCs w:val="24"/>
          <w:u w:val="single"/>
        </w:rPr>
        <w:t xml:space="preserve"> county</w:t>
      </w:r>
      <w:r w:rsidR="003515A2" w:rsidRPr="007B1639">
        <w:rPr>
          <w:rFonts w:ascii="Arial" w:eastAsia="Times New Roman" w:hAnsi="Arial" w:cs="Arial"/>
          <w:color w:val="000000" w:themeColor="text1"/>
          <w:sz w:val="24"/>
          <w:szCs w:val="24"/>
          <w:u w:val="single"/>
        </w:rPr>
        <w:t xml:space="preserve"> being evaluated.</w:t>
      </w:r>
      <w:r w:rsidR="00F26C96" w:rsidRPr="007B1639">
        <w:rPr>
          <w:rFonts w:ascii="Arial" w:eastAsia="Times New Roman" w:hAnsi="Arial" w:cs="Arial"/>
          <w:color w:val="000000" w:themeColor="text1"/>
          <w:sz w:val="24"/>
          <w:szCs w:val="24"/>
          <w:u w:val="single"/>
        </w:rPr>
        <w:t xml:space="preserve"> The adjusted starting value does not vary </w:t>
      </w:r>
      <w:r w:rsidR="00177594" w:rsidRPr="007B1639">
        <w:rPr>
          <w:rFonts w:ascii="Arial" w:eastAsia="Times New Roman" w:hAnsi="Arial" w:cs="Arial"/>
          <w:color w:val="000000" w:themeColor="text1"/>
          <w:sz w:val="24"/>
          <w:szCs w:val="24"/>
          <w:u w:val="single"/>
        </w:rPr>
        <w:t xml:space="preserve">if the </w:t>
      </w:r>
      <w:r w:rsidR="00C2505F">
        <w:rPr>
          <w:rFonts w:ascii="Arial" w:eastAsia="Times New Roman" w:hAnsi="Arial" w:cs="Arial"/>
          <w:color w:val="000000" w:themeColor="text1"/>
          <w:sz w:val="24"/>
          <w:szCs w:val="24"/>
          <w:u w:val="single"/>
        </w:rPr>
        <w:t xml:space="preserve">network </w:t>
      </w:r>
      <w:r w:rsidR="00177594" w:rsidRPr="007B1639">
        <w:rPr>
          <w:rFonts w:ascii="Arial" w:eastAsia="Times New Roman" w:hAnsi="Arial" w:cs="Arial"/>
          <w:color w:val="000000" w:themeColor="text1"/>
          <w:sz w:val="24"/>
          <w:szCs w:val="24"/>
          <w:u w:val="single"/>
        </w:rPr>
        <w:t xml:space="preserve">provider has more than one practice location within </w:t>
      </w:r>
      <w:r w:rsidR="00255A60">
        <w:rPr>
          <w:rFonts w:ascii="Arial" w:eastAsia="Times New Roman" w:hAnsi="Arial" w:cs="Arial"/>
          <w:color w:val="000000" w:themeColor="text1"/>
          <w:sz w:val="24"/>
          <w:szCs w:val="24"/>
          <w:u w:val="single"/>
        </w:rPr>
        <w:t>a</w:t>
      </w:r>
      <w:r w:rsidR="00177594" w:rsidRPr="007B1639">
        <w:rPr>
          <w:rFonts w:ascii="Arial" w:eastAsia="Times New Roman" w:hAnsi="Arial" w:cs="Arial"/>
          <w:color w:val="000000" w:themeColor="text1"/>
          <w:sz w:val="24"/>
          <w:szCs w:val="24"/>
          <w:u w:val="single"/>
        </w:rPr>
        <w:t xml:space="preserve"> county</w:t>
      </w:r>
      <w:r w:rsidRPr="007B1639">
        <w:rPr>
          <w:rFonts w:ascii="Arial" w:eastAsia="Times New Roman" w:hAnsi="Arial" w:cs="Arial"/>
          <w:color w:val="000000" w:themeColor="text1"/>
          <w:sz w:val="24"/>
          <w:szCs w:val="24"/>
          <w:u w:val="single"/>
        </w:rPr>
        <w:t>.</w:t>
      </w:r>
    </w:p>
    <w:p w14:paraId="08C9F672" w14:textId="5FB8C7F3" w:rsidR="00DA5C12" w:rsidRPr="0077211F" w:rsidRDefault="00DA5C12" w:rsidP="00E950D3">
      <w:pPr>
        <w:pStyle w:val="ListParagraph"/>
        <w:numPr>
          <w:ilvl w:val="0"/>
          <w:numId w:val="20"/>
        </w:numPr>
        <w:spacing w:after="240"/>
        <w:ind w:left="1800"/>
        <w:contextualSpacing w:val="0"/>
        <w:rPr>
          <w:rFonts w:ascii="Arial" w:eastAsia="Times New Roman" w:hAnsi="Arial" w:cs="Arial"/>
          <w:color w:val="000000" w:themeColor="text1"/>
          <w:sz w:val="24"/>
          <w:szCs w:val="24"/>
          <w:u w:val="single"/>
        </w:rPr>
      </w:pPr>
      <w:r w:rsidRPr="0077211F">
        <w:rPr>
          <w:rFonts w:ascii="Arial" w:eastAsia="Times New Roman" w:hAnsi="Arial" w:cs="Arial"/>
          <w:b/>
          <w:bCs/>
          <w:color w:val="000000" w:themeColor="text1"/>
          <w:sz w:val="24"/>
          <w:szCs w:val="24"/>
          <w:u w:val="single"/>
        </w:rPr>
        <w:t>Full-Time and Multiple County Practice Locations</w:t>
      </w:r>
      <w:r w:rsidRPr="0077211F">
        <w:rPr>
          <w:rFonts w:ascii="Arial" w:eastAsia="Times New Roman" w:hAnsi="Arial" w:cs="Arial"/>
          <w:color w:val="000000" w:themeColor="text1"/>
          <w:sz w:val="24"/>
          <w:szCs w:val="24"/>
          <w:u w:val="single"/>
        </w:rPr>
        <w:t xml:space="preserve"> – Full-time network providers reported at practice locations in two or more counties have an adjusted starting value </w:t>
      </w:r>
      <w:r w:rsidRPr="00D970CD">
        <w:rPr>
          <w:rFonts w:ascii="Arial" w:eastAsia="Times New Roman" w:hAnsi="Arial" w:cs="Arial"/>
          <w:color w:val="000000" w:themeColor="text1"/>
          <w:sz w:val="24"/>
          <w:szCs w:val="24"/>
          <w:u w:val="single"/>
        </w:rPr>
        <w:t>of 50% of the</w:t>
      </w:r>
      <w:r w:rsidRPr="0077211F">
        <w:rPr>
          <w:rFonts w:ascii="Arial" w:eastAsia="Times New Roman" w:hAnsi="Arial" w:cs="Arial"/>
          <w:color w:val="000000" w:themeColor="text1"/>
          <w:sz w:val="24"/>
          <w:szCs w:val="24"/>
          <w:u w:val="single"/>
        </w:rPr>
        <w:t xml:space="preserve"> </w:t>
      </w:r>
      <w:r w:rsidR="00A56E17" w:rsidRPr="005F0195">
        <w:rPr>
          <w:rFonts w:ascii="Arial" w:eastAsia="Times New Roman" w:hAnsi="Arial" w:cs="Arial"/>
          <w:color w:val="000000" w:themeColor="text1"/>
          <w:sz w:val="24"/>
          <w:szCs w:val="24"/>
          <w:u w:val="single"/>
        </w:rPr>
        <w:t xml:space="preserve">established FTE </w:t>
      </w:r>
      <w:r w:rsidRPr="005F0195">
        <w:rPr>
          <w:rFonts w:ascii="Arial" w:eastAsia="Times New Roman" w:hAnsi="Arial" w:cs="Arial"/>
          <w:color w:val="000000" w:themeColor="text1"/>
          <w:sz w:val="24"/>
          <w:szCs w:val="24"/>
          <w:u w:val="single"/>
        </w:rPr>
        <w:t xml:space="preserve">starting value </w:t>
      </w:r>
      <w:r w:rsidR="00C74DDB" w:rsidRPr="005F0195">
        <w:rPr>
          <w:rFonts w:ascii="Arial" w:eastAsia="Times New Roman" w:hAnsi="Arial" w:cs="Arial"/>
          <w:color w:val="000000" w:themeColor="text1"/>
          <w:sz w:val="24"/>
          <w:szCs w:val="24"/>
          <w:u w:val="single"/>
        </w:rPr>
        <w:t>for th</w:t>
      </w:r>
      <w:r w:rsidR="00DC5496" w:rsidRPr="005F0195">
        <w:rPr>
          <w:rFonts w:ascii="Arial" w:eastAsia="Times New Roman" w:hAnsi="Arial" w:cs="Arial"/>
          <w:color w:val="000000" w:themeColor="text1"/>
          <w:sz w:val="24"/>
          <w:szCs w:val="24"/>
          <w:u w:val="single"/>
        </w:rPr>
        <w:t xml:space="preserve">at specialty type </w:t>
      </w:r>
      <w:r w:rsidR="002070A0" w:rsidRPr="005F0195">
        <w:rPr>
          <w:rFonts w:ascii="Arial" w:eastAsia="Times New Roman" w:hAnsi="Arial" w:cs="Arial"/>
          <w:color w:val="000000" w:themeColor="text1"/>
          <w:sz w:val="24"/>
          <w:szCs w:val="24"/>
          <w:u w:val="single"/>
        </w:rPr>
        <w:t xml:space="preserve">and the county type of the county being evaluated. </w:t>
      </w:r>
      <w:r w:rsidR="00A46F4D" w:rsidRPr="005F0195">
        <w:rPr>
          <w:rFonts w:ascii="Arial" w:eastAsia="Times New Roman" w:hAnsi="Arial" w:cs="Arial"/>
          <w:color w:val="000000" w:themeColor="text1"/>
          <w:sz w:val="24"/>
          <w:szCs w:val="24"/>
          <w:u w:val="single"/>
        </w:rPr>
        <w:t xml:space="preserve">The adjusted starting value does not vary if the </w:t>
      </w:r>
      <w:r w:rsidR="00C2505F" w:rsidRPr="005F0195">
        <w:rPr>
          <w:rFonts w:ascii="Arial" w:eastAsia="Times New Roman" w:hAnsi="Arial" w:cs="Arial"/>
          <w:color w:val="000000" w:themeColor="text1"/>
          <w:sz w:val="24"/>
          <w:szCs w:val="24"/>
          <w:u w:val="single"/>
        </w:rPr>
        <w:t xml:space="preserve">network </w:t>
      </w:r>
      <w:r w:rsidR="00A46F4D" w:rsidRPr="005F0195">
        <w:rPr>
          <w:rFonts w:ascii="Arial" w:eastAsia="Times New Roman" w:hAnsi="Arial" w:cs="Arial"/>
          <w:color w:val="000000" w:themeColor="text1"/>
          <w:sz w:val="24"/>
          <w:szCs w:val="24"/>
          <w:u w:val="single"/>
        </w:rPr>
        <w:t xml:space="preserve">provider has more than one practice location within </w:t>
      </w:r>
      <w:r w:rsidR="00255A60">
        <w:rPr>
          <w:rFonts w:ascii="Arial" w:eastAsia="Times New Roman" w:hAnsi="Arial" w:cs="Arial"/>
          <w:color w:val="000000" w:themeColor="text1"/>
          <w:sz w:val="24"/>
          <w:szCs w:val="24"/>
          <w:u w:val="single"/>
        </w:rPr>
        <w:t>a</w:t>
      </w:r>
      <w:r w:rsidR="00A46F4D" w:rsidRPr="005F0195">
        <w:rPr>
          <w:rFonts w:ascii="Arial" w:eastAsia="Times New Roman" w:hAnsi="Arial" w:cs="Arial"/>
          <w:color w:val="000000" w:themeColor="text1"/>
          <w:sz w:val="24"/>
          <w:szCs w:val="24"/>
          <w:u w:val="single"/>
        </w:rPr>
        <w:t xml:space="preserve"> county</w:t>
      </w:r>
      <w:r w:rsidRPr="005F0195">
        <w:rPr>
          <w:rFonts w:ascii="Arial" w:eastAsia="Times New Roman" w:hAnsi="Arial" w:cs="Arial"/>
          <w:color w:val="000000" w:themeColor="text1"/>
          <w:sz w:val="24"/>
          <w:szCs w:val="24"/>
          <w:u w:val="single"/>
        </w:rPr>
        <w:t>.</w:t>
      </w:r>
    </w:p>
    <w:p w14:paraId="470025EA" w14:textId="774DF190" w:rsidR="00DA5C12" w:rsidRPr="00D502DF" w:rsidRDefault="00DA5C12" w:rsidP="00E950D3">
      <w:pPr>
        <w:pStyle w:val="ListParagraph"/>
        <w:numPr>
          <w:ilvl w:val="0"/>
          <w:numId w:val="20"/>
        </w:numPr>
        <w:spacing w:after="240"/>
        <w:ind w:left="1800"/>
        <w:contextualSpacing w:val="0"/>
        <w:rPr>
          <w:rFonts w:ascii="Arial" w:eastAsia="Times New Roman" w:hAnsi="Arial" w:cs="Arial"/>
          <w:color w:val="000000" w:themeColor="text1"/>
          <w:sz w:val="24"/>
          <w:szCs w:val="24"/>
          <w:u w:val="single"/>
        </w:rPr>
      </w:pPr>
      <w:r w:rsidRPr="003B2BC1">
        <w:rPr>
          <w:rFonts w:ascii="Arial" w:eastAsia="Times New Roman" w:hAnsi="Arial" w:cs="Arial"/>
          <w:b/>
          <w:bCs/>
          <w:color w:val="000000" w:themeColor="text1"/>
          <w:sz w:val="24"/>
          <w:szCs w:val="24"/>
          <w:u w:val="single"/>
        </w:rPr>
        <w:t>Part-Time and Multiple County Practice Locations</w:t>
      </w:r>
      <w:r w:rsidRPr="003B2BC1">
        <w:rPr>
          <w:rFonts w:ascii="Arial" w:eastAsia="Times New Roman" w:hAnsi="Arial" w:cs="Arial"/>
          <w:color w:val="000000" w:themeColor="text1"/>
          <w:sz w:val="24"/>
          <w:szCs w:val="24"/>
          <w:u w:val="single"/>
        </w:rPr>
        <w:t xml:space="preserve"> – </w:t>
      </w:r>
      <w:r w:rsidR="00634CA2">
        <w:rPr>
          <w:rFonts w:ascii="Arial" w:eastAsia="Times New Roman" w:hAnsi="Arial" w:cs="Arial"/>
          <w:color w:val="000000" w:themeColor="text1"/>
          <w:sz w:val="24"/>
          <w:szCs w:val="24"/>
          <w:u w:val="single"/>
        </w:rPr>
        <w:t>Part-time n</w:t>
      </w:r>
      <w:r w:rsidRPr="003B2BC1">
        <w:rPr>
          <w:rFonts w:ascii="Arial" w:eastAsia="Times New Roman" w:hAnsi="Arial" w:cs="Arial"/>
          <w:color w:val="000000" w:themeColor="text1"/>
          <w:sz w:val="24"/>
          <w:szCs w:val="24"/>
          <w:u w:val="single"/>
        </w:rPr>
        <w:t xml:space="preserve">etwork </w:t>
      </w:r>
      <w:r w:rsidR="00DF69DE">
        <w:rPr>
          <w:rFonts w:ascii="Arial" w:eastAsia="Times New Roman" w:hAnsi="Arial" w:cs="Arial"/>
          <w:color w:val="000000" w:themeColor="text1"/>
          <w:sz w:val="24"/>
          <w:szCs w:val="24"/>
          <w:u w:val="single"/>
        </w:rPr>
        <w:t xml:space="preserve">providers </w:t>
      </w:r>
      <w:r w:rsidRPr="003B2BC1">
        <w:rPr>
          <w:rFonts w:ascii="Arial" w:eastAsia="Times New Roman" w:hAnsi="Arial" w:cs="Arial"/>
          <w:color w:val="000000" w:themeColor="text1"/>
          <w:sz w:val="24"/>
          <w:szCs w:val="24"/>
          <w:u w:val="single"/>
        </w:rPr>
        <w:t xml:space="preserve">reported as having </w:t>
      </w:r>
      <w:r w:rsidR="00F073BE">
        <w:rPr>
          <w:rFonts w:ascii="Arial" w:eastAsia="Times New Roman" w:hAnsi="Arial" w:cs="Arial"/>
          <w:color w:val="000000" w:themeColor="text1"/>
          <w:sz w:val="24"/>
          <w:szCs w:val="24"/>
          <w:u w:val="single"/>
        </w:rPr>
        <w:t xml:space="preserve">practice </w:t>
      </w:r>
      <w:r w:rsidRPr="003B2BC1">
        <w:rPr>
          <w:rFonts w:ascii="Arial" w:eastAsia="Times New Roman" w:hAnsi="Arial" w:cs="Arial"/>
          <w:color w:val="000000" w:themeColor="text1"/>
          <w:sz w:val="24"/>
          <w:szCs w:val="24"/>
          <w:u w:val="single"/>
        </w:rPr>
        <w:t xml:space="preserve">locations in two or more counties have an </w:t>
      </w:r>
      <w:r w:rsidRPr="00D502DF">
        <w:rPr>
          <w:rFonts w:ascii="Arial" w:eastAsia="Times New Roman" w:hAnsi="Arial" w:cs="Arial"/>
          <w:color w:val="000000" w:themeColor="text1"/>
          <w:sz w:val="24"/>
          <w:szCs w:val="24"/>
          <w:u w:val="single"/>
        </w:rPr>
        <w:t xml:space="preserve">adjusted starting value of 30% of the </w:t>
      </w:r>
      <w:r w:rsidR="005B4EF8" w:rsidRPr="00D502DF">
        <w:rPr>
          <w:rFonts w:ascii="Arial" w:eastAsia="Times New Roman" w:hAnsi="Arial" w:cs="Arial"/>
          <w:color w:val="000000" w:themeColor="text1"/>
          <w:sz w:val="24"/>
          <w:szCs w:val="24"/>
          <w:u w:val="single"/>
        </w:rPr>
        <w:t xml:space="preserve">established FTE </w:t>
      </w:r>
      <w:r w:rsidRPr="00D502DF">
        <w:rPr>
          <w:rFonts w:ascii="Arial" w:eastAsia="Times New Roman" w:hAnsi="Arial" w:cs="Arial"/>
          <w:color w:val="000000" w:themeColor="text1"/>
          <w:sz w:val="24"/>
          <w:szCs w:val="24"/>
          <w:u w:val="single"/>
        </w:rPr>
        <w:t xml:space="preserve">starting value </w:t>
      </w:r>
      <w:r w:rsidR="005B4EF8" w:rsidRPr="00AD17D6">
        <w:rPr>
          <w:rFonts w:ascii="Arial" w:eastAsia="Times New Roman" w:hAnsi="Arial" w:cs="Arial"/>
          <w:color w:val="000000" w:themeColor="text1"/>
          <w:sz w:val="24"/>
          <w:szCs w:val="24"/>
          <w:u w:val="single"/>
        </w:rPr>
        <w:t xml:space="preserve">for that specialty type </w:t>
      </w:r>
      <w:r w:rsidR="006C429F" w:rsidRPr="00AD17D6">
        <w:rPr>
          <w:rFonts w:ascii="Arial" w:eastAsia="Times New Roman" w:hAnsi="Arial" w:cs="Arial"/>
          <w:color w:val="000000" w:themeColor="text1"/>
          <w:sz w:val="24"/>
          <w:szCs w:val="24"/>
          <w:u w:val="single"/>
        </w:rPr>
        <w:t>and the county type being evaluated</w:t>
      </w:r>
      <w:r w:rsidR="00D40E64" w:rsidRPr="00AD17D6">
        <w:rPr>
          <w:rFonts w:ascii="Arial" w:eastAsia="Times New Roman" w:hAnsi="Arial" w:cs="Arial"/>
          <w:color w:val="000000" w:themeColor="text1"/>
          <w:sz w:val="24"/>
          <w:szCs w:val="24"/>
          <w:u w:val="single"/>
        </w:rPr>
        <w:t>.</w:t>
      </w:r>
      <w:r w:rsidR="00D40E64" w:rsidRPr="00D502DF">
        <w:rPr>
          <w:rFonts w:ascii="Arial" w:eastAsia="Times New Roman" w:hAnsi="Arial" w:cs="Arial"/>
          <w:color w:val="000000" w:themeColor="text1"/>
          <w:sz w:val="24"/>
          <w:szCs w:val="24"/>
          <w:u w:val="single"/>
        </w:rPr>
        <w:t xml:space="preserve"> The adjusted starting value does not vary if the </w:t>
      </w:r>
      <w:r w:rsidR="00AD17D6">
        <w:rPr>
          <w:rFonts w:ascii="Arial" w:eastAsia="Times New Roman" w:hAnsi="Arial" w:cs="Arial"/>
          <w:color w:val="000000" w:themeColor="text1"/>
          <w:sz w:val="24"/>
          <w:szCs w:val="24"/>
          <w:u w:val="single"/>
        </w:rPr>
        <w:t xml:space="preserve">network </w:t>
      </w:r>
      <w:r w:rsidR="00D40E64" w:rsidRPr="00D502DF">
        <w:rPr>
          <w:rFonts w:ascii="Arial" w:eastAsia="Times New Roman" w:hAnsi="Arial" w:cs="Arial"/>
          <w:color w:val="000000" w:themeColor="text1"/>
          <w:sz w:val="24"/>
          <w:szCs w:val="24"/>
          <w:u w:val="single"/>
        </w:rPr>
        <w:t xml:space="preserve">provider has more than one practice location within </w:t>
      </w:r>
      <w:r w:rsidR="00255A60">
        <w:rPr>
          <w:rFonts w:ascii="Arial" w:eastAsia="Times New Roman" w:hAnsi="Arial" w:cs="Arial"/>
          <w:color w:val="000000" w:themeColor="text1"/>
          <w:sz w:val="24"/>
          <w:szCs w:val="24"/>
          <w:u w:val="single"/>
        </w:rPr>
        <w:t>a</w:t>
      </w:r>
      <w:r w:rsidR="00D40E64" w:rsidRPr="00D502DF">
        <w:rPr>
          <w:rFonts w:ascii="Arial" w:eastAsia="Times New Roman" w:hAnsi="Arial" w:cs="Arial"/>
          <w:color w:val="000000" w:themeColor="text1"/>
          <w:sz w:val="24"/>
          <w:szCs w:val="24"/>
          <w:u w:val="single"/>
        </w:rPr>
        <w:t xml:space="preserve"> county</w:t>
      </w:r>
      <w:r w:rsidRPr="00D502DF">
        <w:rPr>
          <w:rFonts w:ascii="Arial" w:eastAsia="Times New Roman" w:hAnsi="Arial" w:cs="Arial"/>
          <w:color w:val="000000" w:themeColor="text1"/>
          <w:sz w:val="24"/>
          <w:szCs w:val="24"/>
          <w:u w:val="single"/>
        </w:rPr>
        <w:t>.</w:t>
      </w:r>
    </w:p>
    <w:p w14:paraId="6BBB6C2E" w14:textId="089144CC" w:rsidR="00FA31FA" w:rsidRDefault="00DA5C12" w:rsidP="00E950D3">
      <w:pPr>
        <w:pStyle w:val="ListParagraph"/>
        <w:numPr>
          <w:ilvl w:val="0"/>
          <w:numId w:val="20"/>
        </w:numPr>
        <w:spacing w:after="240" w:line="259" w:lineRule="auto"/>
        <w:ind w:left="1800"/>
        <w:contextualSpacing w:val="0"/>
        <w:rPr>
          <w:rFonts w:ascii="Arial" w:hAnsi="Arial" w:cs="Arial"/>
          <w:sz w:val="24"/>
          <w:szCs w:val="24"/>
        </w:rPr>
      </w:pPr>
      <w:r w:rsidRPr="003B2BC1">
        <w:rPr>
          <w:rFonts w:ascii="Arial" w:hAnsi="Arial" w:cs="Arial"/>
          <w:color w:val="000000" w:themeColor="text1"/>
          <w:sz w:val="24"/>
          <w:szCs w:val="24"/>
          <w:u w:val="single"/>
        </w:rPr>
        <w:t xml:space="preserve">A </w:t>
      </w:r>
      <w:r w:rsidRPr="003B2BC1">
        <w:rPr>
          <w:rFonts w:ascii="Arial" w:hAnsi="Arial" w:cs="Arial"/>
          <w:sz w:val="24"/>
          <w:szCs w:val="24"/>
          <w:u w:val="single"/>
        </w:rPr>
        <w:t xml:space="preserve">complete list of a network provider’s potential Starting Value Adjustments as identified above, is available in the attached </w:t>
      </w:r>
      <w:r w:rsidRPr="00B9292B">
        <w:rPr>
          <w:rFonts w:ascii="Arial" w:hAnsi="Arial" w:cs="Arial"/>
          <w:b/>
          <w:bCs/>
          <w:sz w:val="24"/>
          <w:szCs w:val="24"/>
          <w:u w:val="single"/>
        </w:rPr>
        <w:t xml:space="preserve">Schedule </w:t>
      </w:r>
      <w:r w:rsidR="006D6361" w:rsidRPr="00B9292B">
        <w:rPr>
          <w:rFonts w:ascii="Arial" w:hAnsi="Arial" w:cs="Arial"/>
          <w:b/>
          <w:bCs/>
          <w:sz w:val="24"/>
          <w:szCs w:val="24"/>
          <w:u w:val="single"/>
        </w:rPr>
        <w:t>D</w:t>
      </w:r>
      <w:r w:rsidRPr="00B9292B">
        <w:rPr>
          <w:rFonts w:ascii="Arial" w:hAnsi="Arial" w:cs="Arial"/>
          <w:sz w:val="24"/>
          <w:szCs w:val="24"/>
        </w:rPr>
        <w:t>.</w:t>
      </w:r>
    </w:p>
    <w:p w14:paraId="4808ED99" w14:textId="77777777" w:rsidR="00FA31FA" w:rsidRDefault="00FA31FA">
      <w:pPr>
        <w:spacing w:after="160" w:line="259" w:lineRule="auto"/>
        <w:rPr>
          <w:rFonts w:ascii="Arial" w:hAnsi="Arial" w:cs="Arial"/>
          <w:sz w:val="24"/>
          <w:szCs w:val="24"/>
        </w:rPr>
      </w:pPr>
      <w:r>
        <w:rPr>
          <w:rFonts w:ascii="Arial" w:hAnsi="Arial" w:cs="Arial"/>
          <w:sz w:val="24"/>
          <w:szCs w:val="24"/>
        </w:rPr>
        <w:br w:type="page"/>
      </w:r>
    </w:p>
    <w:p w14:paraId="10320950" w14:textId="77777777" w:rsidR="00DA5C12" w:rsidRPr="002409AD" w:rsidRDefault="00DA5C12" w:rsidP="008D6996">
      <w:pPr>
        <w:pStyle w:val="Heading3"/>
        <w:ind w:left="1080"/>
        <w:rPr>
          <w:rFonts w:cs="Arial"/>
          <w:bCs/>
          <w:sz w:val="28"/>
          <w:szCs w:val="28"/>
        </w:rPr>
      </w:pPr>
      <w:r w:rsidRPr="002409AD">
        <w:lastRenderedPageBreak/>
        <w:t>Ratio Modifier for Telehealth-Only Network Providers</w:t>
      </w:r>
    </w:p>
    <w:p w14:paraId="6A9C0B6A" w14:textId="393159B4" w:rsidR="00DA5C12" w:rsidRPr="002B78A6" w:rsidRDefault="00DA5C12" w:rsidP="005B1075">
      <w:pPr>
        <w:pStyle w:val="ListParagraph"/>
        <w:numPr>
          <w:ilvl w:val="0"/>
          <w:numId w:val="15"/>
        </w:numPr>
        <w:spacing w:after="240" w:line="259" w:lineRule="auto"/>
        <w:ind w:left="720"/>
        <w:contextualSpacing w:val="0"/>
        <w:rPr>
          <w:rFonts w:ascii="Arial" w:hAnsi="Arial" w:cs="Arial"/>
          <w:sz w:val="24"/>
          <w:szCs w:val="24"/>
          <w:u w:val="single"/>
        </w:rPr>
      </w:pPr>
      <w:r w:rsidRPr="002409AD">
        <w:rPr>
          <w:rFonts w:ascii="Arial" w:hAnsi="Arial" w:cs="Arial"/>
          <w:sz w:val="24"/>
          <w:szCs w:val="24"/>
          <w:u w:val="single"/>
        </w:rPr>
        <w:t xml:space="preserve">Telehealth-only network providers may be applied to meet the </w:t>
      </w:r>
      <w:r w:rsidR="00583905">
        <w:rPr>
          <w:rFonts w:ascii="Arial" w:hAnsi="Arial" w:cs="Arial"/>
          <w:sz w:val="24"/>
          <w:szCs w:val="24"/>
          <w:u w:val="single"/>
        </w:rPr>
        <w:t>Specialist Physician</w:t>
      </w:r>
      <w:r w:rsidR="0044214C">
        <w:rPr>
          <w:rFonts w:ascii="Arial" w:hAnsi="Arial" w:cs="Arial"/>
          <w:sz w:val="24"/>
          <w:szCs w:val="24"/>
          <w:u w:val="single"/>
        </w:rPr>
        <w:t>s</w:t>
      </w:r>
      <w:r w:rsidRPr="002409AD">
        <w:rPr>
          <w:rFonts w:ascii="Arial" w:hAnsi="Arial" w:cs="Arial"/>
          <w:sz w:val="24"/>
          <w:szCs w:val="24"/>
          <w:u w:val="single"/>
        </w:rPr>
        <w:t xml:space="preserve"> Ratio Standard through a telehealth-only </w:t>
      </w:r>
      <w:r w:rsidRPr="002B78A6">
        <w:rPr>
          <w:rFonts w:ascii="Arial" w:hAnsi="Arial" w:cs="Arial"/>
          <w:sz w:val="24"/>
          <w:szCs w:val="24"/>
          <w:u w:val="single"/>
        </w:rPr>
        <w:t>ratio modifier</w:t>
      </w:r>
      <w:r w:rsidR="00242176" w:rsidRPr="002B78A6">
        <w:rPr>
          <w:rFonts w:ascii="Arial" w:hAnsi="Arial" w:cs="Arial"/>
          <w:sz w:val="24"/>
          <w:szCs w:val="24"/>
          <w:u w:val="single"/>
        </w:rPr>
        <w:t>. The modifier shall be calculated based on the specific specialty type being evaluated</w:t>
      </w:r>
      <w:r w:rsidRPr="002B78A6">
        <w:rPr>
          <w:rFonts w:ascii="Arial" w:hAnsi="Arial" w:cs="Arial"/>
          <w:sz w:val="24"/>
          <w:szCs w:val="24"/>
          <w:u w:val="single"/>
        </w:rPr>
        <w:t>, in accordance with the following conditions:</w:t>
      </w:r>
    </w:p>
    <w:p w14:paraId="7F6EDB0A" w14:textId="1A365A56" w:rsidR="00DA5C12" w:rsidRPr="002B78A6" w:rsidRDefault="00CF6E0D" w:rsidP="00096F57">
      <w:pPr>
        <w:pStyle w:val="ListParagraph"/>
        <w:numPr>
          <w:ilvl w:val="0"/>
          <w:numId w:val="9"/>
        </w:numPr>
        <w:autoSpaceDE w:val="0"/>
        <w:autoSpaceDN w:val="0"/>
        <w:adjustRightInd w:val="0"/>
        <w:spacing w:after="240"/>
        <w:ind w:left="1080"/>
        <w:contextualSpacing w:val="0"/>
        <w:rPr>
          <w:rFonts w:ascii="Arial" w:hAnsi="Arial" w:cs="Arial"/>
          <w:sz w:val="24"/>
          <w:szCs w:val="24"/>
          <w:u w:val="single"/>
        </w:rPr>
      </w:pPr>
      <w:r w:rsidRPr="002B78A6">
        <w:rPr>
          <w:rFonts w:ascii="Arial" w:hAnsi="Arial" w:cs="Arial"/>
          <w:sz w:val="24"/>
          <w:szCs w:val="24"/>
          <w:u w:val="single"/>
        </w:rPr>
        <w:t>For each specialist physician type, t</w:t>
      </w:r>
      <w:r w:rsidR="00DA5C12" w:rsidRPr="002B78A6">
        <w:rPr>
          <w:rFonts w:ascii="Arial" w:hAnsi="Arial" w:cs="Arial"/>
          <w:sz w:val="24"/>
          <w:szCs w:val="24"/>
          <w:u w:val="single"/>
        </w:rPr>
        <w:t xml:space="preserve">he telehealth-only ratio modifier shall be applied to a county or network summed FTE in a manner proportional to the full-value count of telehealth-only network providers reported for the network </w:t>
      </w:r>
      <w:r w:rsidR="008938E5">
        <w:rPr>
          <w:rFonts w:ascii="Arial" w:hAnsi="Arial" w:cs="Arial"/>
          <w:sz w:val="24"/>
          <w:szCs w:val="24"/>
          <w:u w:val="single"/>
        </w:rPr>
        <w:t xml:space="preserve">(for the specialty type) </w:t>
      </w:r>
      <w:r w:rsidR="00DA5C12" w:rsidRPr="002B78A6">
        <w:rPr>
          <w:rFonts w:ascii="Arial" w:hAnsi="Arial" w:cs="Arial"/>
          <w:sz w:val="24"/>
          <w:szCs w:val="24"/>
          <w:u w:val="single"/>
        </w:rPr>
        <w:t xml:space="preserve">divided by the full-value count of in-person </w:t>
      </w:r>
      <w:r w:rsidR="00CA5EB9" w:rsidRPr="002B78A6">
        <w:rPr>
          <w:rFonts w:ascii="Arial" w:hAnsi="Arial" w:cs="Arial"/>
          <w:sz w:val="24"/>
          <w:szCs w:val="24"/>
          <w:u w:val="single"/>
        </w:rPr>
        <w:t>providers</w:t>
      </w:r>
      <w:r w:rsidR="00DA5C12" w:rsidRPr="002B78A6">
        <w:rPr>
          <w:rFonts w:ascii="Arial" w:hAnsi="Arial" w:cs="Arial"/>
          <w:sz w:val="24"/>
          <w:szCs w:val="24"/>
          <w:u w:val="single"/>
        </w:rPr>
        <w:t xml:space="preserve"> reported for the network</w:t>
      </w:r>
      <w:r w:rsidR="008938E5">
        <w:rPr>
          <w:rFonts w:ascii="Arial" w:hAnsi="Arial" w:cs="Arial"/>
          <w:sz w:val="24"/>
          <w:szCs w:val="24"/>
          <w:u w:val="single"/>
        </w:rPr>
        <w:t xml:space="preserve"> (for the specialty type)</w:t>
      </w:r>
      <w:r w:rsidR="00DA5C12" w:rsidRPr="002B78A6">
        <w:rPr>
          <w:rFonts w:ascii="Arial" w:hAnsi="Arial" w:cs="Arial"/>
          <w:sz w:val="24"/>
          <w:szCs w:val="24"/>
          <w:u w:val="single"/>
        </w:rPr>
        <w:t>; and</w:t>
      </w:r>
    </w:p>
    <w:p w14:paraId="5AD6004C" w14:textId="6C505B30" w:rsidR="00DA5C12" w:rsidRPr="002409AD" w:rsidRDefault="00DA5C12" w:rsidP="00096F57">
      <w:pPr>
        <w:pStyle w:val="ListParagraph"/>
        <w:numPr>
          <w:ilvl w:val="0"/>
          <w:numId w:val="9"/>
        </w:numPr>
        <w:autoSpaceDE w:val="0"/>
        <w:autoSpaceDN w:val="0"/>
        <w:adjustRightInd w:val="0"/>
        <w:spacing w:after="240"/>
        <w:ind w:left="1080"/>
        <w:contextualSpacing w:val="0"/>
        <w:rPr>
          <w:rFonts w:ascii="Arial" w:hAnsi="Arial" w:cs="Arial"/>
          <w:sz w:val="24"/>
          <w:szCs w:val="24"/>
          <w:u w:val="single"/>
        </w:rPr>
      </w:pPr>
      <w:r w:rsidRPr="002409AD">
        <w:rPr>
          <w:rFonts w:ascii="Arial" w:hAnsi="Arial" w:cs="Arial"/>
          <w:sz w:val="24"/>
          <w:szCs w:val="24"/>
          <w:u w:val="single"/>
        </w:rPr>
        <w:t xml:space="preserve">Notwithstanding subsection a., the telehealth-only ratio modifier shall not </w:t>
      </w:r>
      <w:r w:rsidRPr="00BD6D79">
        <w:rPr>
          <w:rFonts w:ascii="Arial" w:hAnsi="Arial" w:cs="Arial"/>
          <w:sz w:val="24"/>
          <w:szCs w:val="24"/>
          <w:u w:val="single"/>
        </w:rPr>
        <w:t xml:space="preserve">exceed </w:t>
      </w:r>
      <w:r w:rsidR="00CC6F43" w:rsidRPr="00BD6D79">
        <w:rPr>
          <w:rFonts w:ascii="Arial" w:hAnsi="Arial" w:cs="Arial"/>
          <w:sz w:val="24"/>
          <w:szCs w:val="24"/>
          <w:u w:val="single"/>
        </w:rPr>
        <w:t>5</w:t>
      </w:r>
      <w:r w:rsidRPr="00BD6D79">
        <w:rPr>
          <w:rFonts w:ascii="Arial" w:hAnsi="Arial" w:cs="Arial"/>
          <w:sz w:val="24"/>
          <w:szCs w:val="24"/>
          <w:u w:val="single"/>
        </w:rPr>
        <w:t>% of the</w:t>
      </w:r>
      <w:r w:rsidRPr="002409AD">
        <w:rPr>
          <w:rFonts w:ascii="Arial" w:hAnsi="Arial" w:cs="Arial"/>
          <w:sz w:val="24"/>
          <w:szCs w:val="24"/>
          <w:u w:val="single"/>
        </w:rPr>
        <w:t xml:space="preserve"> summed FTE value of </w:t>
      </w:r>
      <w:r w:rsidR="00CC6F43">
        <w:rPr>
          <w:rFonts w:ascii="Arial" w:hAnsi="Arial" w:cs="Arial"/>
          <w:sz w:val="24"/>
          <w:szCs w:val="24"/>
          <w:u w:val="single"/>
        </w:rPr>
        <w:t xml:space="preserve">each specialist physician </w:t>
      </w:r>
      <w:r w:rsidRPr="002409AD">
        <w:rPr>
          <w:rFonts w:ascii="Arial" w:hAnsi="Arial" w:cs="Arial"/>
          <w:sz w:val="24"/>
          <w:szCs w:val="24"/>
          <w:u w:val="single"/>
        </w:rPr>
        <w:t>network provider</w:t>
      </w:r>
      <w:r w:rsidR="00CC6F43">
        <w:rPr>
          <w:rFonts w:ascii="Arial" w:hAnsi="Arial" w:cs="Arial"/>
          <w:sz w:val="24"/>
          <w:szCs w:val="24"/>
          <w:u w:val="single"/>
        </w:rPr>
        <w:t xml:space="preserve"> type</w:t>
      </w:r>
      <w:r w:rsidRPr="002409AD">
        <w:rPr>
          <w:rFonts w:ascii="Arial" w:hAnsi="Arial" w:cs="Arial"/>
          <w:sz w:val="24"/>
          <w:szCs w:val="24"/>
          <w:u w:val="single"/>
        </w:rPr>
        <w:t xml:space="preserve"> used to meet a ratio standard within a county or network service area.</w:t>
      </w:r>
    </w:p>
    <w:p w14:paraId="5ED65294" w14:textId="4363F844" w:rsidR="00DA5C12" w:rsidRPr="00300CAC" w:rsidRDefault="00DA5C12" w:rsidP="005B1075">
      <w:pPr>
        <w:pStyle w:val="ListParagraph"/>
        <w:numPr>
          <w:ilvl w:val="0"/>
          <w:numId w:val="15"/>
        </w:numPr>
        <w:spacing w:after="240" w:line="259" w:lineRule="auto"/>
        <w:ind w:left="720"/>
        <w:contextualSpacing w:val="0"/>
        <w:rPr>
          <w:rFonts w:ascii="Arial" w:hAnsi="Arial" w:cs="Arial"/>
          <w:sz w:val="24"/>
          <w:szCs w:val="24"/>
          <w:u w:val="single"/>
        </w:rPr>
      </w:pPr>
      <w:r w:rsidRPr="002409AD">
        <w:rPr>
          <w:rFonts w:ascii="Arial" w:hAnsi="Arial" w:cs="Arial"/>
          <w:sz w:val="24"/>
          <w:szCs w:val="24"/>
          <w:u w:val="single"/>
        </w:rPr>
        <w:t xml:space="preserve">The ratio modifier for telehealth-only network providers is not subject to additional FTE adjustments or alternative ratio modifiers. The ratio modifier formula for telehealth-only network providers is set forth in the </w:t>
      </w:r>
      <w:r w:rsidRPr="00300CAC">
        <w:rPr>
          <w:rFonts w:ascii="Arial" w:hAnsi="Arial" w:cs="Arial"/>
          <w:sz w:val="24"/>
          <w:szCs w:val="24"/>
          <w:u w:val="single"/>
        </w:rPr>
        <w:t xml:space="preserve">attached </w:t>
      </w:r>
      <w:r w:rsidRPr="00300CAC">
        <w:rPr>
          <w:rFonts w:ascii="Arial" w:hAnsi="Arial" w:cs="Arial"/>
          <w:b/>
          <w:bCs/>
          <w:sz w:val="24"/>
          <w:szCs w:val="24"/>
          <w:u w:val="single"/>
        </w:rPr>
        <w:t xml:space="preserve">Schedule </w:t>
      </w:r>
      <w:r w:rsidR="00C9052A" w:rsidRPr="00300CAC">
        <w:rPr>
          <w:rFonts w:ascii="Arial" w:hAnsi="Arial" w:cs="Arial"/>
          <w:b/>
          <w:bCs/>
          <w:sz w:val="24"/>
          <w:szCs w:val="24"/>
          <w:u w:val="single"/>
        </w:rPr>
        <w:t>D</w:t>
      </w:r>
      <w:r w:rsidRPr="00300CAC">
        <w:rPr>
          <w:rFonts w:ascii="Arial" w:hAnsi="Arial" w:cs="Arial"/>
          <w:b/>
          <w:bCs/>
          <w:sz w:val="24"/>
          <w:szCs w:val="24"/>
          <w:u w:val="single"/>
        </w:rPr>
        <w:t>-1</w:t>
      </w:r>
      <w:r w:rsidRPr="00300CAC">
        <w:rPr>
          <w:rFonts w:ascii="Arial" w:hAnsi="Arial" w:cs="Arial"/>
          <w:sz w:val="24"/>
          <w:szCs w:val="24"/>
          <w:u w:val="single"/>
        </w:rPr>
        <w:t>.</w:t>
      </w:r>
    </w:p>
    <w:p w14:paraId="5F2AD1FA" w14:textId="77777777" w:rsidR="00DA5C12" w:rsidRPr="005E49E7" w:rsidRDefault="00DA5C12" w:rsidP="008D6996">
      <w:pPr>
        <w:pStyle w:val="Heading3"/>
        <w:ind w:left="1080"/>
        <w:rPr>
          <w:rFonts w:cs="Arial"/>
        </w:rPr>
      </w:pPr>
      <w:r w:rsidRPr="00533447">
        <w:t xml:space="preserve">Alternative Methodology </w:t>
      </w:r>
      <w:r w:rsidRPr="005E49E7">
        <w:rPr>
          <w:rFonts w:cs="Arial"/>
        </w:rPr>
        <w:t>– Additional Ratio Modifiers</w:t>
      </w:r>
    </w:p>
    <w:p w14:paraId="08C65856" w14:textId="36E908B8" w:rsidR="00DA5C12" w:rsidRPr="00533447" w:rsidRDefault="00DA5C12" w:rsidP="005B1075">
      <w:pPr>
        <w:pStyle w:val="ListParagraph"/>
        <w:numPr>
          <w:ilvl w:val="0"/>
          <w:numId w:val="16"/>
        </w:numPr>
        <w:spacing w:after="240" w:line="259" w:lineRule="auto"/>
        <w:ind w:left="720"/>
        <w:contextualSpacing w:val="0"/>
        <w:rPr>
          <w:rFonts w:ascii="Arial" w:hAnsi="Arial" w:cs="Arial"/>
          <w:sz w:val="24"/>
          <w:szCs w:val="24"/>
          <w:u w:val="single"/>
          <w:shd w:val="clear" w:color="auto" w:fill="FFFFFF"/>
        </w:rPr>
      </w:pPr>
      <w:r w:rsidRPr="00533447">
        <w:rPr>
          <w:rStyle w:val="normaltextrun"/>
          <w:rFonts w:ascii="Arial" w:hAnsi="Arial" w:cs="Arial"/>
          <w:sz w:val="24"/>
          <w:szCs w:val="24"/>
          <w:u w:val="single"/>
          <w:shd w:val="clear" w:color="auto" w:fill="FFFFFF"/>
        </w:rPr>
        <w:t xml:space="preserve">When a Plan is not able to meet </w:t>
      </w:r>
      <w:r w:rsidRPr="00CD5A9A">
        <w:rPr>
          <w:rStyle w:val="normaltextrun"/>
          <w:rFonts w:ascii="Arial" w:hAnsi="Arial" w:cs="Arial"/>
          <w:sz w:val="24"/>
          <w:szCs w:val="24"/>
          <w:u w:val="single"/>
          <w:shd w:val="clear" w:color="auto" w:fill="FFFFFF"/>
        </w:rPr>
        <w:t xml:space="preserve">the </w:t>
      </w:r>
      <w:r w:rsidR="00CD5A9A" w:rsidRPr="00CD5A9A">
        <w:rPr>
          <w:rStyle w:val="normaltextrun"/>
          <w:rFonts w:ascii="Arial" w:hAnsi="Arial" w:cs="Arial"/>
          <w:sz w:val="24"/>
          <w:szCs w:val="24"/>
          <w:u w:val="single"/>
          <w:shd w:val="clear" w:color="auto" w:fill="FFFFFF"/>
        </w:rPr>
        <w:t xml:space="preserve">FTE </w:t>
      </w:r>
      <w:r w:rsidRPr="00CD5A9A">
        <w:rPr>
          <w:rStyle w:val="normaltextrun"/>
          <w:rFonts w:ascii="Arial" w:hAnsi="Arial" w:cs="Arial"/>
          <w:sz w:val="24"/>
          <w:szCs w:val="24"/>
          <w:u w:val="single"/>
          <w:shd w:val="clear" w:color="auto" w:fill="FFFFFF"/>
        </w:rPr>
        <w:t>ratio standard</w:t>
      </w:r>
      <w:r w:rsidRPr="00533447">
        <w:rPr>
          <w:rStyle w:val="normaltextrun"/>
          <w:rFonts w:ascii="Arial" w:hAnsi="Arial" w:cs="Arial"/>
          <w:sz w:val="24"/>
          <w:szCs w:val="24"/>
          <w:u w:val="single"/>
          <w:shd w:val="clear" w:color="auto" w:fill="FFFFFF"/>
        </w:rPr>
        <w:t xml:space="preserve"> for an applicable county, the DMHC shall conduct a further review based on the presence of one or more of the following factors that may impact </w:t>
      </w:r>
      <w:r w:rsidR="00283CA4">
        <w:rPr>
          <w:rStyle w:val="normaltextrun"/>
          <w:rFonts w:ascii="Arial" w:hAnsi="Arial" w:cs="Arial"/>
          <w:sz w:val="24"/>
          <w:szCs w:val="24"/>
          <w:u w:val="single"/>
          <w:shd w:val="clear" w:color="auto" w:fill="FFFFFF"/>
        </w:rPr>
        <w:t xml:space="preserve">specialist physician </w:t>
      </w:r>
      <w:r w:rsidRPr="00533447">
        <w:rPr>
          <w:rStyle w:val="normaltextrun"/>
          <w:rFonts w:ascii="Arial" w:hAnsi="Arial" w:cs="Arial"/>
          <w:sz w:val="24"/>
          <w:szCs w:val="24"/>
          <w:u w:val="single"/>
          <w:shd w:val="clear" w:color="auto" w:fill="FFFFFF"/>
        </w:rPr>
        <w:t>capacity</w:t>
      </w:r>
      <w:r w:rsidR="00283CA4">
        <w:rPr>
          <w:rStyle w:val="normaltextrun"/>
          <w:rFonts w:ascii="Arial" w:hAnsi="Arial" w:cs="Arial"/>
          <w:sz w:val="24"/>
          <w:szCs w:val="24"/>
          <w:u w:val="single"/>
          <w:shd w:val="clear" w:color="auto" w:fill="FFFFFF"/>
        </w:rPr>
        <w:t xml:space="preserve"> for the special</w:t>
      </w:r>
      <w:r w:rsidR="00B26E7B">
        <w:rPr>
          <w:rStyle w:val="normaltextrun"/>
          <w:rFonts w:ascii="Arial" w:hAnsi="Arial" w:cs="Arial"/>
          <w:sz w:val="24"/>
          <w:szCs w:val="24"/>
          <w:u w:val="single"/>
          <w:shd w:val="clear" w:color="auto" w:fill="FFFFFF"/>
        </w:rPr>
        <w:t>ist physician</w:t>
      </w:r>
      <w:r w:rsidR="00283CA4">
        <w:rPr>
          <w:rStyle w:val="normaltextrun"/>
          <w:rFonts w:ascii="Arial" w:hAnsi="Arial" w:cs="Arial"/>
          <w:sz w:val="24"/>
          <w:szCs w:val="24"/>
          <w:u w:val="single"/>
          <w:shd w:val="clear" w:color="auto" w:fill="FFFFFF"/>
        </w:rPr>
        <w:t xml:space="preserve"> type</w:t>
      </w:r>
      <w:r w:rsidRPr="00533447">
        <w:rPr>
          <w:rStyle w:val="normaltextrun"/>
          <w:rFonts w:ascii="Arial" w:hAnsi="Arial" w:cs="Arial"/>
          <w:sz w:val="24"/>
          <w:szCs w:val="24"/>
          <w:u w:val="single"/>
          <w:shd w:val="clear" w:color="auto" w:fill="FFFFFF"/>
        </w:rPr>
        <w:t xml:space="preserve"> in the applicable county or network:</w:t>
      </w:r>
    </w:p>
    <w:p w14:paraId="3C37A007" w14:textId="61B71FF1" w:rsidR="00DA5C12" w:rsidRPr="00533447" w:rsidRDefault="00DA5C12" w:rsidP="00096F57">
      <w:pPr>
        <w:pStyle w:val="ListParagraph"/>
        <w:numPr>
          <w:ilvl w:val="0"/>
          <w:numId w:val="10"/>
        </w:numPr>
        <w:spacing w:after="240"/>
        <w:ind w:left="108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The network includes </w:t>
      </w:r>
      <w:r w:rsidR="00283CA4">
        <w:rPr>
          <w:rFonts w:ascii="Arial" w:eastAsia="Times New Roman" w:hAnsi="Arial" w:cs="Arial"/>
          <w:sz w:val="24"/>
          <w:szCs w:val="24"/>
          <w:u w:val="single"/>
        </w:rPr>
        <w:t>specialist physicians of the applicable specialty type</w:t>
      </w:r>
      <w:r w:rsidRPr="00533447">
        <w:rPr>
          <w:rFonts w:ascii="Arial" w:eastAsia="Times New Roman" w:hAnsi="Arial" w:cs="Arial"/>
          <w:sz w:val="24"/>
          <w:szCs w:val="24"/>
          <w:u w:val="single"/>
        </w:rPr>
        <w:t xml:space="preserve"> that are </w:t>
      </w:r>
      <w:r w:rsidR="005D2229" w:rsidRPr="00533447">
        <w:rPr>
          <w:rFonts w:ascii="Arial" w:eastAsia="Times New Roman" w:hAnsi="Arial" w:cs="Arial"/>
          <w:sz w:val="24"/>
          <w:szCs w:val="24"/>
          <w:u w:val="single"/>
        </w:rPr>
        <w:t xml:space="preserve">exclusive </w:t>
      </w:r>
      <w:r w:rsidRPr="00533447">
        <w:rPr>
          <w:rFonts w:ascii="Arial" w:eastAsia="Times New Roman" w:hAnsi="Arial" w:cs="Arial"/>
          <w:sz w:val="24"/>
          <w:szCs w:val="24"/>
          <w:u w:val="single"/>
        </w:rPr>
        <w:t xml:space="preserve">providers (EP), as defined. </w:t>
      </w:r>
      <w:r w:rsidRPr="00533447">
        <w:rPr>
          <w:rStyle w:val="normaltextrun"/>
          <w:rFonts w:ascii="Arial" w:hAnsi="Arial" w:cs="Arial"/>
          <w:sz w:val="24"/>
          <w:szCs w:val="24"/>
          <w:u w:val="single"/>
          <w:shd w:val="clear" w:color="auto" w:fill="FFFFFF"/>
        </w:rPr>
        <w:t>Network providers that are EPs are expected to have higher FTE values for the reported network, as their time is not distributed across multiple reporting plans;</w:t>
      </w:r>
    </w:p>
    <w:p w14:paraId="3D02FCA4" w14:textId="79FB523E" w:rsidR="00DA5C12" w:rsidRPr="00AC299F" w:rsidRDefault="00DA5C12" w:rsidP="00096F57">
      <w:pPr>
        <w:pStyle w:val="ListParagraph"/>
        <w:numPr>
          <w:ilvl w:val="0"/>
          <w:numId w:val="10"/>
        </w:numPr>
        <w:spacing w:after="240"/>
        <w:ind w:left="108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A plan</w:t>
      </w:r>
      <w:r w:rsidR="00B45BBB">
        <w:rPr>
          <w:rFonts w:ascii="Arial" w:eastAsia="Times New Roman" w:hAnsi="Arial" w:cs="Arial"/>
          <w:sz w:val="24"/>
          <w:szCs w:val="24"/>
          <w:u w:val="single"/>
        </w:rPr>
        <w:t xml:space="preserve"> network’s</w:t>
      </w:r>
      <w:r w:rsidRPr="00533447">
        <w:rPr>
          <w:rFonts w:ascii="Arial" w:eastAsia="Times New Roman" w:hAnsi="Arial" w:cs="Arial"/>
          <w:sz w:val="24"/>
          <w:szCs w:val="24"/>
          <w:u w:val="single"/>
        </w:rPr>
        <w:t xml:space="preserve"> enrollment in the county represents a large percentage of total population in the county compared to other reported networks. </w:t>
      </w:r>
      <w:r w:rsidRPr="00AC299F">
        <w:rPr>
          <w:rFonts w:ascii="Arial" w:hAnsi="Arial" w:cs="Arial"/>
          <w:sz w:val="24"/>
          <w:szCs w:val="24"/>
          <w:u w:val="single"/>
        </w:rPr>
        <w:t>Networks that enroll a substantial share of the county population are expected to</w:t>
      </w:r>
      <w:r w:rsidRPr="00AC299F">
        <w:rPr>
          <w:rFonts w:ascii="Arial" w:hAnsi="Arial" w:cs="Arial"/>
          <w:sz w:val="24"/>
          <w:szCs w:val="24"/>
        </w:rPr>
        <w:t xml:space="preserve"> </w:t>
      </w:r>
      <w:r w:rsidRPr="00AC299F">
        <w:rPr>
          <w:rFonts w:ascii="Arial" w:hAnsi="Arial" w:cs="Arial"/>
          <w:sz w:val="24"/>
          <w:szCs w:val="24"/>
          <w:u w:val="single"/>
        </w:rPr>
        <w:t>account for a larger share of a provider FTE compared to networks with relatively low levels of enrollment</w:t>
      </w:r>
      <w:r w:rsidRPr="00AC299F">
        <w:rPr>
          <w:rFonts w:ascii="Arial" w:eastAsia="Times New Roman" w:hAnsi="Arial" w:cs="Arial"/>
          <w:sz w:val="24"/>
          <w:szCs w:val="24"/>
          <w:u w:val="single"/>
        </w:rPr>
        <w:t>;</w:t>
      </w:r>
    </w:p>
    <w:p w14:paraId="36A30016" w14:textId="3681568D" w:rsidR="00DA5C12" w:rsidRPr="00AC299F" w:rsidRDefault="00DA5C12" w:rsidP="00096F57">
      <w:pPr>
        <w:pStyle w:val="ListParagraph"/>
        <w:numPr>
          <w:ilvl w:val="0"/>
          <w:numId w:val="10"/>
        </w:numPr>
        <w:spacing w:after="240"/>
        <w:ind w:left="1080"/>
        <w:contextualSpacing w:val="0"/>
        <w:rPr>
          <w:rFonts w:ascii="Arial" w:eastAsia="Times New Roman" w:hAnsi="Arial" w:cs="Arial"/>
          <w:sz w:val="24"/>
          <w:szCs w:val="24"/>
          <w:u w:val="single"/>
        </w:rPr>
      </w:pPr>
      <w:r w:rsidRPr="00AC299F">
        <w:rPr>
          <w:rFonts w:ascii="Arial" w:eastAsia="Times New Roman" w:hAnsi="Arial" w:cs="Arial"/>
          <w:sz w:val="24"/>
          <w:szCs w:val="24"/>
          <w:u w:val="single"/>
        </w:rPr>
        <w:lastRenderedPageBreak/>
        <w:t>The county is a Rural or CEAC county, and the network has sufficient capacity in an adjacent county or counties to service enrollees in the combined counties</w:t>
      </w:r>
      <w:r w:rsidR="005803DF" w:rsidRPr="00AC299F">
        <w:rPr>
          <w:rFonts w:ascii="Arial" w:eastAsia="Times New Roman" w:hAnsi="Arial" w:cs="Arial"/>
          <w:sz w:val="24"/>
          <w:szCs w:val="24"/>
          <w:u w:val="single"/>
        </w:rPr>
        <w:t xml:space="preserve">; </w:t>
      </w:r>
      <w:r w:rsidR="007B6DB8" w:rsidRPr="00AC299F">
        <w:rPr>
          <w:rStyle w:val="FootnoteReference"/>
          <w:rFonts w:ascii="Arial" w:eastAsia="Times New Roman" w:hAnsi="Arial" w:cs="Arial"/>
          <w:sz w:val="24"/>
          <w:szCs w:val="24"/>
          <w:u w:val="single"/>
        </w:rPr>
        <w:footnoteReference w:id="8"/>
      </w:r>
    </w:p>
    <w:p w14:paraId="26472409" w14:textId="295AAA06" w:rsidR="00DA5C12" w:rsidRPr="00533447" w:rsidRDefault="00DA5C12" w:rsidP="00096F57">
      <w:pPr>
        <w:pStyle w:val="ListParagraph"/>
        <w:numPr>
          <w:ilvl w:val="0"/>
          <w:numId w:val="10"/>
        </w:numPr>
        <w:spacing w:after="240"/>
        <w:ind w:left="1080"/>
        <w:contextualSpacing w:val="0"/>
        <w:rPr>
          <w:rFonts w:ascii="Arial" w:eastAsia="Times New Roman" w:hAnsi="Arial" w:cs="Arial"/>
          <w:sz w:val="24"/>
          <w:szCs w:val="24"/>
          <w:u w:val="single"/>
        </w:rPr>
      </w:pPr>
      <w:r w:rsidRPr="00AC299F">
        <w:rPr>
          <w:rFonts w:ascii="Arial" w:eastAsia="Times New Roman" w:hAnsi="Arial" w:cs="Arial"/>
          <w:sz w:val="24"/>
          <w:szCs w:val="24"/>
          <w:u w:val="single"/>
        </w:rPr>
        <w:t xml:space="preserve">The county is a Large Metro, Metro, or Micro </w:t>
      </w:r>
      <w:r w:rsidR="004C34AC" w:rsidRPr="00AC299F">
        <w:rPr>
          <w:rFonts w:ascii="Arial" w:eastAsia="Times New Roman" w:hAnsi="Arial" w:cs="Arial"/>
          <w:sz w:val="24"/>
          <w:szCs w:val="24"/>
          <w:u w:val="single"/>
        </w:rPr>
        <w:t>County</w:t>
      </w:r>
      <w:r w:rsidRPr="00AC299F">
        <w:rPr>
          <w:rFonts w:ascii="Arial" w:eastAsia="Times New Roman" w:hAnsi="Arial" w:cs="Arial"/>
          <w:sz w:val="24"/>
          <w:szCs w:val="24"/>
          <w:u w:val="single"/>
        </w:rPr>
        <w:t xml:space="preserve"> in which the Plan’s </w:t>
      </w:r>
      <w:r w:rsidR="008834D3" w:rsidRPr="00AC299F">
        <w:rPr>
          <w:rFonts w:ascii="Arial" w:hAnsi="Arial" w:cs="Arial"/>
          <w:sz w:val="24"/>
          <w:szCs w:val="24"/>
          <w:u w:val="single"/>
        </w:rPr>
        <w:t>specialist physician</w:t>
      </w:r>
      <w:r w:rsidRPr="00AC299F">
        <w:rPr>
          <w:rFonts w:ascii="Arial" w:eastAsia="Times New Roman" w:hAnsi="Arial" w:cs="Arial"/>
          <w:sz w:val="24"/>
          <w:szCs w:val="24"/>
          <w:u w:val="single"/>
        </w:rPr>
        <w:t xml:space="preserve"> network providers</w:t>
      </w:r>
      <w:r w:rsidRPr="00533447">
        <w:rPr>
          <w:rFonts w:ascii="Arial" w:eastAsia="Times New Roman" w:hAnsi="Arial" w:cs="Arial"/>
          <w:sz w:val="24"/>
          <w:szCs w:val="24"/>
          <w:u w:val="single"/>
        </w:rPr>
        <w:t xml:space="preserve"> comprise a large percentage of the licensed </w:t>
      </w:r>
      <w:r w:rsidR="008834D3">
        <w:rPr>
          <w:rFonts w:ascii="Arial" w:hAnsi="Arial" w:cs="Arial"/>
          <w:sz w:val="24"/>
          <w:szCs w:val="24"/>
          <w:u w:val="single"/>
        </w:rPr>
        <w:t>providers in the county for the specialist physician type</w:t>
      </w:r>
      <w:r w:rsidRPr="00533447">
        <w:rPr>
          <w:rFonts w:ascii="Arial" w:eastAsia="Times New Roman" w:hAnsi="Arial" w:cs="Arial"/>
          <w:sz w:val="24"/>
          <w:szCs w:val="24"/>
          <w:u w:val="single"/>
        </w:rPr>
        <w:t xml:space="preserve">, and the network has sufficient capacity in </w:t>
      </w:r>
      <w:r w:rsidRPr="007B6DB8">
        <w:rPr>
          <w:rFonts w:ascii="Arial" w:eastAsia="Times New Roman" w:hAnsi="Arial" w:cs="Arial"/>
          <w:sz w:val="24"/>
          <w:szCs w:val="24"/>
          <w:u w:val="single"/>
        </w:rPr>
        <w:t>an adjacent county or counties</w:t>
      </w:r>
      <w:r w:rsidRPr="00533447">
        <w:rPr>
          <w:rFonts w:ascii="Arial" w:eastAsia="Times New Roman" w:hAnsi="Arial" w:cs="Arial"/>
          <w:sz w:val="24"/>
          <w:szCs w:val="24"/>
          <w:u w:val="single"/>
        </w:rPr>
        <w:t xml:space="preserve"> to service enrollees in the combined counties.</w:t>
      </w:r>
      <w:r w:rsidR="005803DF">
        <w:rPr>
          <w:rStyle w:val="FootnoteReference"/>
          <w:rFonts w:ascii="Arial" w:eastAsia="Times New Roman" w:hAnsi="Arial" w:cs="Arial"/>
          <w:sz w:val="24"/>
          <w:szCs w:val="24"/>
          <w:u w:val="single"/>
        </w:rPr>
        <w:footnoteReference w:id="9"/>
      </w:r>
    </w:p>
    <w:p w14:paraId="123E3128" w14:textId="02DA3165" w:rsidR="00DA5C12" w:rsidRPr="00533447" w:rsidRDefault="00DA5C12" w:rsidP="005B1075">
      <w:pPr>
        <w:pStyle w:val="ListParagraph"/>
        <w:numPr>
          <w:ilvl w:val="0"/>
          <w:numId w:val="16"/>
        </w:numPr>
        <w:spacing w:after="240" w:line="259" w:lineRule="auto"/>
        <w:ind w:left="720"/>
        <w:contextualSpacing w:val="0"/>
        <w:rPr>
          <w:rFonts w:ascii="Arial" w:eastAsia="Times New Roman" w:hAnsi="Arial" w:cs="Arial"/>
          <w:sz w:val="24"/>
          <w:szCs w:val="24"/>
          <w:u w:val="single"/>
        </w:rPr>
      </w:pPr>
      <w:r w:rsidRPr="00533447">
        <w:rPr>
          <w:rStyle w:val="normaltextrun"/>
          <w:rFonts w:ascii="Arial" w:hAnsi="Arial" w:cs="Arial"/>
          <w:sz w:val="24"/>
          <w:szCs w:val="24"/>
          <w:u w:val="single"/>
          <w:shd w:val="clear" w:color="auto" w:fill="FFFFFF"/>
        </w:rPr>
        <w:t xml:space="preserve">Each ratio modifier set forth below is an alternative review methodology for the DMHC to measure the capacity ratio for </w:t>
      </w:r>
      <w:r w:rsidR="00040705">
        <w:rPr>
          <w:rFonts w:ascii="Arial" w:hAnsi="Arial" w:cs="Arial"/>
          <w:sz w:val="24"/>
          <w:szCs w:val="24"/>
          <w:u w:val="single"/>
        </w:rPr>
        <w:t>the listed specialist physician types</w:t>
      </w:r>
      <w:r w:rsidRPr="00533447">
        <w:rPr>
          <w:rStyle w:val="normaltextrun"/>
          <w:rFonts w:ascii="Arial" w:hAnsi="Arial" w:cs="Arial"/>
          <w:sz w:val="24"/>
          <w:szCs w:val="24"/>
          <w:u w:val="single"/>
          <w:shd w:val="clear" w:color="auto" w:fill="FFFFFF"/>
        </w:rPr>
        <w:t>, based on the factors above.</w:t>
      </w:r>
    </w:p>
    <w:p w14:paraId="76F094BC" w14:textId="7DD4A697" w:rsidR="00DA5C12" w:rsidRPr="00533447" w:rsidRDefault="00DA5C12" w:rsidP="00096F57">
      <w:pPr>
        <w:pStyle w:val="ListParagraph"/>
        <w:numPr>
          <w:ilvl w:val="0"/>
          <w:numId w:val="11"/>
        </w:numPr>
        <w:spacing w:after="240"/>
        <w:ind w:left="108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FTE Modifier for exclusive providers (EP) – This FTE modifier is applicable to </w:t>
      </w:r>
      <w:r w:rsidR="00040705">
        <w:rPr>
          <w:rFonts w:ascii="Arial" w:hAnsi="Arial" w:cs="Arial"/>
          <w:sz w:val="24"/>
          <w:szCs w:val="24"/>
          <w:u w:val="single"/>
        </w:rPr>
        <w:t>specialist physicians</w:t>
      </w:r>
      <w:r w:rsidRPr="00533447">
        <w:rPr>
          <w:rFonts w:ascii="Arial" w:eastAsia="Times New Roman" w:hAnsi="Arial" w:cs="Arial"/>
          <w:sz w:val="24"/>
          <w:szCs w:val="24"/>
          <w:u w:val="single"/>
        </w:rPr>
        <w:t xml:space="preserve"> that are EPs, as defined. The starting value FTE is replaced by a modified FTE value for EPs that is equal to one divided by the number of the plan’s networks in the county. After the modified EP FTE value is calculated for each EP, any applicable FTE starting value adjustments set forth in </w:t>
      </w:r>
      <w:r w:rsidRPr="000A1267">
        <w:rPr>
          <w:rFonts w:ascii="Arial" w:eastAsia="Times New Roman" w:hAnsi="Arial" w:cs="Arial"/>
          <w:sz w:val="24"/>
          <w:szCs w:val="24"/>
          <w:u w:val="single"/>
        </w:rPr>
        <w:t xml:space="preserve">section </w:t>
      </w:r>
      <w:r w:rsidR="00262DC5">
        <w:rPr>
          <w:rFonts w:ascii="Arial" w:eastAsia="Times New Roman" w:hAnsi="Arial" w:cs="Arial"/>
          <w:sz w:val="24"/>
          <w:szCs w:val="24"/>
          <w:u w:val="single"/>
        </w:rPr>
        <w:t>I.</w:t>
      </w:r>
      <w:r w:rsidRPr="000A1267">
        <w:rPr>
          <w:rFonts w:ascii="Arial" w:eastAsia="Times New Roman" w:hAnsi="Arial" w:cs="Arial"/>
          <w:sz w:val="24"/>
          <w:szCs w:val="24"/>
          <w:u w:val="single"/>
        </w:rPr>
        <w:t>C</w:t>
      </w:r>
      <w:r w:rsidR="000A1267" w:rsidRPr="000A1267">
        <w:rPr>
          <w:rFonts w:ascii="Arial" w:eastAsia="Times New Roman" w:hAnsi="Arial" w:cs="Arial"/>
          <w:sz w:val="24"/>
          <w:szCs w:val="24"/>
          <w:u w:val="single"/>
        </w:rPr>
        <w:t>.</w:t>
      </w:r>
      <w:r w:rsidRPr="000A1267">
        <w:rPr>
          <w:rFonts w:ascii="Arial" w:eastAsia="Times New Roman" w:hAnsi="Arial" w:cs="Arial"/>
          <w:sz w:val="24"/>
          <w:szCs w:val="24"/>
          <w:u w:val="single"/>
        </w:rPr>
        <w:t xml:space="preserve"> will be applied</w:t>
      </w:r>
      <w:r w:rsidRPr="00533447">
        <w:rPr>
          <w:rFonts w:ascii="Arial" w:eastAsia="Times New Roman" w:hAnsi="Arial" w:cs="Arial"/>
          <w:sz w:val="24"/>
          <w:szCs w:val="24"/>
          <w:u w:val="single"/>
        </w:rPr>
        <w:t xml:space="preserve"> to the modified EP FTE value.</w:t>
      </w:r>
    </w:p>
    <w:p w14:paraId="0686DBE6" w14:textId="03CDB99D" w:rsidR="00DA5C12" w:rsidRPr="00533447" w:rsidRDefault="00DA5C12" w:rsidP="00096F57">
      <w:pPr>
        <w:pStyle w:val="ListParagraph"/>
        <w:numPr>
          <w:ilvl w:val="3"/>
          <w:numId w:val="3"/>
        </w:numPr>
        <w:spacing w:after="240"/>
        <w:ind w:left="180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The FTE modifier for </w:t>
      </w:r>
      <w:r w:rsidRPr="00827D1C">
        <w:rPr>
          <w:rFonts w:ascii="Arial" w:eastAsia="Times New Roman" w:hAnsi="Arial" w:cs="Arial"/>
          <w:sz w:val="24"/>
          <w:szCs w:val="24"/>
          <w:u w:val="single"/>
        </w:rPr>
        <w:t xml:space="preserve">EPs is set forth in </w:t>
      </w:r>
      <w:r w:rsidRPr="00827D1C">
        <w:rPr>
          <w:rFonts w:ascii="Arial" w:eastAsia="Times New Roman" w:hAnsi="Arial" w:cs="Arial"/>
          <w:b/>
          <w:bCs/>
          <w:sz w:val="24"/>
          <w:szCs w:val="24"/>
          <w:u w:val="single"/>
        </w:rPr>
        <w:t xml:space="preserve">Schedule </w:t>
      </w:r>
      <w:r w:rsidR="00827D1C" w:rsidRPr="00827D1C">
        <w:rPr>
          <w:rFonts w:ascii="Arial" w:eastAsia="Times New Roman" w:hAnsi="Arial" w:cs="Arial"/>
          <w:b/>
          <w:bCs/>
          <w:sz w:val="24"/>
          <w:szCs w:val="24"/>
          <w:u w:val="single"/>
        </w:rPr>
        <w:t>D</w:t>
      </w:r>
      <w:r w:rsidRPr="00827D1C">
        <w:rPr>
          <w:rFonts w:ascii="Arial" w:eastAsia="Times New Roman" w:hAnsi="Arial" w:cs="Arial"/>
          <w:b/>
          <w:bCs/>
          <w:sz w:val="24"/>
          <w:szCs w:val="24"/>
          <w:u w:val="single"/>
        </w:rPr>
        <w:t>-2.</w:t>
      </w:r>
    </w:p>
    <w:p w14:paraId="7EAEB3BC" w14:textId="3AECFE30" w:rsidR="00DA5C12" w:rsidRPr="00C6137B" w:rsidRDefault="00DA5C12" w:rsidP="00096F57">
      <w:pPr>
        <w:pStyle w:val="ListParagraph"/>
        <w:numPr>
          <w:ilvl w:val="0"/>
          <w:numId w:val="11"/>
        </w:numPr>
        <w:spacing w:after="240"/>
        <w:ind w:left="1080"/>
        <w:contextualSpacing w:val="0"/>
        <w:rPr>
          <w:rFonts w:ascii="Arial" w:eastAsia="Times New Roman" w:hAnsi="Arial" w:cs="Arial"/>
          <w:sz w:val="24"/>
          <w:szCs w:val="24"/>
          <w:u w:val="single"/>
        </w:rPr>
      </w:pPr>
      <w:r w:rsidRPr="00751ACE">
        <w:rPr>
          <w:rFonts w:ascii="Arial" w:eastAsia="Times New Roman" w:hAnsi="Arial" w:cs="Arial"/>
          <w:color w:val="000000" w:themeColor="text1"/>
          <w:sz w:val="24"/>
          <w:szCs w:val="24"/>
          <w:u w:val="single"/>
        </w:rPr>
        <w:t xml:space="preserve">Provider FTE Modifier for High Enrollment </w:t>
      </w:r>
      <w:r w:rsidRPr="00C6137B">
        <w:rPr>
          <w:rFonts w:ascii="Arial" w:eastAsia="Times New Roman" w:hAnsi="Arial" w:cs="Arial"/>
          <w:sz w:val="24"/>
          <w:szCs w:val="24"/>
          <w:u w:val="single"/>
        </w:rPr>
        <w:t xml:space="preserve">Counties – A provider FTE modifier for high enrollment counties shall apply to counties in which enrollment for the network is reported above a threshold percentage of population value for the county, based on the county population counts reported in the DMHC’s </w:t>
      </w:r>
      <w:r w:rsidRPr="00C6137B">
        <w:rPr>
          <w:rFonts w:ascii="Arial" w:hAnsi="Arial" w:cs="Arial"/>
          <w:i/>
          <w:iCs/>
          <w:sz w:val="24"/>
          <w:szCs w:val="24"/>
          <w:u w:val="single"/>
        </w:rPr>
        <w:t>California ZIP Code and County Combinations and Population Points</w:t>
      </w:r>
      <w:r w:rsidRPr="00C6137B">
        <w:rPr>
          <w:rFonts w:ascii="Arial" w:hAnsi="Arial" w:cs="Arial"/>
          <w:sz w:val="24"/>
          <w:szCs w:val="24"/>
          <w:u w:val="single"/>
        </w:rPr>
        <w:t xml:space="preserve"> document </w:t>
      </w:r>
      <w:r w:rsidRPr="00C6137B">
        <w:rPr>
          <w:rStyle w:val="cf01"/>
          <w:rFonts w:ascii="Arial" w:hAnsi="Arial" w:cs="Arial"/>
          <w:sz w:val="24"/>
          <w:szCs w:val="24"/>
          <w:u w:val="single"/>
        </w:rPr>
        <w:t xml:space="preserve">issued annually in the DMHC’s web portal, pursuant to </w:t>
      </w:r>
      <w:r w:rsidRPr="00C6137B">
        <w:rPr>
          <w:rFonts w:ascii="Arial" w:eastAsia="Times New Roman" w:hAnsi="Arial" w:cs="Arial"/>
          <w:sz w:val="24"/>
          <w:szCs w:val="24"/>
          <w:u w:val="single"/>
        </w:rPr>
        <w:t xml:space="preserve">Rule 1300.67.2.2(b)(11). The threshold percentage for eligibility is set forth in </w:t>
      </w:r>
      <w:r w:rsidRPr="00837E88">
        <w:rPr>
          <w:rFonts w:ascii="Arial" w:eastAsia="Times New Roman" w:hAnsi="Arial" w:cs="Arial"/>
          <w:b/>
          <w:sz w:val="24"/>
          <w:szCs w:val="24"/>
          <w:u w:val="single"/>
        </w:rPr>
        <w:t xml:space="preserve">Schedule </w:t>
      </w:r>
      <w:r w:rsidR="00827D1C" w:rsidRPr="00837E88">
        <w:rPr>
          <w:rFonts w:ascii="Arial" w:eastAsia="Times New Roman" w:hAnsi="Arial" w:cs="Arial"/>
          <w:b/>
          <w:sz w:val="24"/>
          <w:szCs w:val="24"/>
          <w:u w:val="single"/>
        </w:rPr>
        <w:t>D</w:t>
      </w:r>
      <w:r w:rsidRPr="00837E88">
        <w:rPr>
          <w:rFonts w:ascii="Arial" w:eastAsia="Times New Roman" w:hAnsi="Arial" w:cs="Arial"/>
          <w:b/>
          <w:sz w:val="24"/>
          <w:szCs w:val="24"/>
          <w:u w:val="single"/>
        </w:rPr>
        <w:t>-3.</w:t>
      </w:r>
      <w:r w:rsidRPr="00C6137B">
        <w:rPr>
          <w:rFonts w:ascii="Arial" w:eastAsia="Times New Roman" w:hAnsi="Arial" w:cs="Arial"/>
          <w:b/>
          <w:bCs/>
          <w:sz w:val="24"/>
          <w:szCs w:val="24"/>
          <w:u w:val="single"/>
        </w:rPr>
        <w:t xml:space="preserve"> </w:t>
      </w:r>
      <w:r w:rsidRPr="00C6137B">
        <w:rPr>
          <w:rFonts w:ascii="Arial" w:eastAsia="Times New Roman" w:hAnsi="Arial" w:cs="Arial"/>
          <w:sz w:val="24"/>
          <w:szCs w:val="24"/>
          <w:u w:val="single"/>
        </w:rPr>
        <w:t>The following requirements apply to this review:</w:t>
      </w:r>
    </w:p>
    <w:p w14:paraId="0F322172" w14:textId="7ADF3F66" w:rsidR="00DA5C12" w:rsidRPr="00FC6D7A" w:rsidRDefault="00DA5C12" w:rsidP="00096F57">
      <w:pPr>
        <w:pStyle w:val="ListParagraph"/>
        <w:numPr>
          <w:ilvl w:val="0"/>
          <w:numId w:val="23"/>
        </w:numPr>
        <w:spacing w:after="240"/>
        <w:ind w:left="1800"/>
        <w:contextualSpacing w:val="0"/>
        <w:rPr>
          <w:rFonts w:ascii="Arial" w:eastAsia="Times New Roman" w:hAnsi="Arial" w:cs="Arial"/>
          <w:color w:val="000000" w:themeColor="text1"/>
          <w:sz w:val="24"/>
          <w:szCs w:val="24"/>
          <w:u w:val="single"/>
        </w:rPr>
      </w:pPr>
      <w:r w:rsidRPr="00FC6D7A">
        <w:rPr>
          <w:rFonts w:ascii="Arial" w:eastAsia="Times New Roman" w:hAnsi="Arial" w:cs="Arial"/>
          <w:color w:val="000000" w:themeColor="text1"/>
          <w:sz w:val="24"/>
          <w:szCs w:val="24"/>
          <w:u w:val="single"/>
        </w:rPr>
        <w:t xml:space="preserve">For county networks that are eligible, the DMHC shall multiply the network’s total FTE value for the county by a multiplier based on the percentage of county population enrolled in the network. The total FTE value includes the FTE starting values (or the alternative EP </w:t>
      </w:r>
      <w:r w:rsidR="00F87553">
        <w:rPr>
          <w:rFonts w:ascii="Arial" w:eastAsia="Times New Roman" w:hAnsi="Arial" w:cs="Arial"/>
          <w:color w:val="000000" w:themeColor="text1"/>
          <w:sz w:val="24"/>
          <w:szCs w:val="24"/>
          <w:u w:val="single"/>
        </w:rPr>
        <w:t xml:space="preserve">FTE </w:t>
      </w:r>
      <w:r w:rsidRPr="00FC6D7A">
        <w:rPr>
          <w:rFonts w:ascii="Arial" w:eastAsia="Times New Roman" w:hAnsi="Arial" w:cs="Arial"/>
          <w:color w:val="000000" w:themeColor="text1"/>
          <w:sz w:val="24"/>
          <w:szCs w:val="24"/>
          <w:u w:val="single"/>
        </w:rPr>
        <w:t xml:space="preserve">value if applicable) and FTE starting value adjustments. It does not include </w:t>
      </w:r>
      <w:r w:rsidRPr="00FC6D7A">
        <w:rPr>
          <w:rFonts w:ascii="Arial" w:eastAsia="Times New Roman" w:hAnsi="Arial" w:cs="Arial"/>
          <w:color w:val="000000" w:themeColor="text1"/>
          <w:sz w:val="24"/>
          <w:szCs w:val="24"/>
          <w:u w:val="single"/>
        </w:rPr>
        <w:lastRenderedPageBreak/>
        <w:t>the telehealth ratio modifier, which is applied after the FTE alternative review methodologies are considered.</w:t>
      </w:r>
    </w:p>
    <w:p w14:paraId="1139C67E" w14:textId="2557304B" w:rsidR="00DA5C12" w:rsidRPr="002A24EC" w:rsidRDefault="00DA5C12" w:rsidP="00096F57">
      <w:pPr>
        <w:pStyle w:val="ListParagraph"/>
        <w:numPr>
          <w:ilvl w:val="0"/>
          <w:numId w:val="23"/>
        </w:numPr>
        <w:spacing w:after="240"/>
        <w:ind w:left="1800"/>
        <w:contextualSpacing w:val="0"/>
        <w:rPr>
          <w:rFonts w:ascii="Arial" w:eastAsia="Times New Roman" w:hAnsi="Arial" w:cs="Arial"/>
          <w:sz w:val="24"/>
          <w:szCs w:val="24"/>
          <w:u w:val="single"/>
        </w:rPr>
      </w:pPr>
      <w:r w:rsidRPr="00FC6D7A">
        <w:rPr>
          <w:rFonts w:ascii="Arial" w:eastAsia="Times New Roman" w:hAnsi="Arial" w:cs="Arial"/>
          <w:sz w:val="24"/>
          <w:szCs w:val="24"/>
          <w:u w:val="single"/>
        </w:rPr>
        <w:t>The DMHC shall use a pre-</w:t>
      </w:r>
      <w:r w:rsidRPr="002A24EC">
        <w:rPr>
          <w:rFonts w:ascii="Arial" w:eastAsia="Times New Roman" w:hAnsi="Arial" w:cs="Arial"/>
          <w:sz w:val="24"/>
          <w:szCs w:val="24"/>
          <w:u w:val="single"/>
        </w:rPr>
        <w:t xml:space="preserve">determined multiplier based on the percentage of county population enrolled in a network, according to enrollment levels. Enrollment levels are set forth in </w:t>
      </w:r>
      <w:r w:rsidRPr="002A24EC">
        <w:rPr>
          <w:rFonts w:ascii="Arial" w:eastAsia="Times New Roman" w:hAnsi="Arial" w:cs="Arial"/>
          <w:b/>
          <w:bCs/>
          <w:sz w:val="24"/>
          <w:szCs w:val="24"/>
          <w:u w:val="single"/>
        </w:rPr>
        <w:t xml:space="preserve">Schedule </w:t>
      </w:r>
      <w:r w:rsidR="000603DD" w:rsidRPr="002A24EC">
        <w:rPr>
          <w:rFonts w:ascii="Arial" w:eastAsia="Times New Roman" w:hAnsi="Arial" w:cs="Arial"/>
          <w:b/>
          <w:bCs/>
          <w:sz w:val="24"/>
          <w:szCs w:val="24"/>
          <w:u w:val="single"/>
        </w:rPr>
        <w:t>D</w:t>
      </w:r>
      <w:r w:rsidRPr="002A24EC">
        <w:rPr>
          <w:rFonts w:ascii="Arial" w:eastAsia="Times New Roman" w:hAnsi="Arial" w:cs="Arial"/>
          <w:b/>
          <w:bCs/>
          <w:sz w:val="24"/>
          <w:szCs w:val="24"/>
          <w:u w:val="single"/>
        </w:rPr>
        <w:t>-3.</w:t>
      </w:r>
    </w:p>
    <w:p w14:paraId="70808C76" w14:textId="32C59D64" w:rsidR="00DA5C12" w:rsidRPr="002A24EC" w:rsidRDefault="00DA5C12" w:rsidP="00096F57">
      <w:pPr>
        <w:pStyle w:val="ListParagraph"/>
        <w:numPr>
          <w:ilvl w:val="0"/>
          <w:numId w:val="23"/>
        </w:numPr>
        <w:spacing w:after="240"/>
        <w:ind w:left="1800"/>
        <w:contextualSpacing w:val="0"/>
        <w:rPr>
          <w:rFonts w:ascii="Arial" w:hAnsi="Arial" w:cs="Arial"/>
          <w:sz w:val="24"/>
          <w:szCs w:val="24"/>
          <w:u w:val="single"/>
        </w:rPr>
      </w:pPr>
      <w:r w:rsidRPr="002A24EC">
        <w:rPr>
          <w:rFonts w:ascii="Arial" w:hAnsi="Arial" w:cs="Arial"/>
          <w:sz w:val="24"/>
          <w:szCs w:val="24"/>
          <w:u w:val="single"/>
        </w:rPr>
        <w:t xml:space="preserve">The adjusted total FTE value for the county network shall not exceed 80% of the full-value count of </w:t>
      </w:r>
      <w:r w:rsidR="00DC2F18" w:rsidRPr="002A24EC">
        <w:rPr>
          <w:rFonts w:ascii="Arial" w:hAnsi="Arial" w:cs="Arial"/>
          <w:sz w:val="24"/>
          <w:szCs w:val="24"/>
          <w:u w:val="single"/>
        </w:rPr>
        <w:t>C</w:t>
      </w:r>
      <w:r w:rsidRPr="002A24EC">
        <w:rPr>
          <w:rFonts w:ascii="Arial" w:hAnsi="Arial" w:cs="Arial"/>
          <w:sz w:val="24"/>
          <w:szCs w:val="24"/>
          <w:u w:val="single"/>
        </w:rPr>
        <w:t>ounseling MHPs the network reported for the county.</w:t>
      </w:r>
    </w:p>
    <w:p w14:paraId="0E999005" w14:textId="6C705324" w:rsidR="00DA5C12" w:rsidRPr="002A24EC" w:rsidRDefault="00DA5C12" w:rsidP="00096F57">
      <w:pPr>
        <w:pStyle w:val="ListParagraph"/>
        <w:numPr>
          <w:ilvl w:val="0"/>
          <w:numId w:val="23"/>
        </w:numPr>
        <w:spacing w:after="240"/>
        <w:ind w:left="1800"/>
        <w:contextualSpacing w:val="0"/>
        <w:rPr>
          <w:rFonts w:ascii="Arial" w:eastAsia="Times New Roman" w:hAnsi="Arial" w:cs="Arial"/>
          <w:sz w:val="24"/>
          <w:szCs w:val="24"/>
          <w:u w:val="single"/>
        </w:rPr>
      </w:pPr>
      <w:r w:rsidRPr="002A24EC">
        <w:rPr>
          <w:rFonts w:ascii="Arial" w:eastAsia="Times New Roman" w:hAnsi="Arial" w:cs="Arial"/>
          <w:sz w:val="24"/>
          <w:szCs w:val="24"/>
          <w:u w:val="single"/>
        </w:rPr>
        <w:t xml:space="preserve">Provider FTE modifiers and threshold values for high enrollment network counties are set forth in </w:t>
      </w:r>
      <w:r w:rsidRPr="002A24EC">
        <w:rPr>
          <w:rFonts w:ascii="Arial" w:eastAsia="Times New Roman" w:hAnsi="Arial" w:cs="Arial"/>
          <w:b/>
          <w:bCs/>
          <w:sz w:val="24"/>
          <w:szCs w:val="24"/>
          <w:u w:val="single"/>
        </w:rPr>
        <w:t xml:space="preserve">Schedule </w:t>
      </w:r>
      <w:r w:rsidR="000603DD" w:rsidRPr="002A24EC">
        <w:rPr>
          <w:rFonts w:ascii="Arial" w:eastAsia="Times New Roman" w:hAnsi="Arial" w:cs="Arial"/>
          <w:b/>
          <w:bCs/>
          <w:sz w:val="24"/>
          <w:szCs w:val="24"/>
          <w:u w:val="single"/>
        </w:rPr>
        <w:t>D</w:t>
      </w:r>
      <w:r w:rsidRPr="002A24EC">
        <w:rPr>
          <w:rFonts w:ascii="Arial" w:eastAsia="Times New Roman" w:hAnsi="Arial" w:cs="Arial"/>
          <w:b/>
          <w:bCs/>
          <w:sz w:val="24"/>
          <w:szCs w:val="24"/>
          <w:u w:val="single"/>
        </w:rPr>
        <w:t>-3</w:t>
      </w:r>
      <w:r w:rsidRPr="002A24EC">
        <w:rPr>
          <w:rFonts w:ascii="Arial" w:eastAsia="Times New Roman" w:hAnsi="Arial" w:cs="Arial"/>
          <w:sz w:val="24"/>
          <w:szCs w:val="24"/>
          <w:u w:val="single"/>
        </w:rPr>
        <w:t>.</w:t>
      </w:r>
    </w:p>
    <w:p w14:paraId="3436BAC0" w14:textId="222E8066" w:rsidR="00DA5C12" w:rsidRPr="00FC6D7A" w:rsidRDefault="00DA5C12" w:rsidP="00096F57">
      <w:pPr>
        <w:pStyle w:val="ListParagraph"/>
        <w:numPr>
          <w:ilvl w:val="0"/>
          <w:numId w:val="11"/>
        </w:numPr>
        <w:spacing w:after="240"/>
        <w:ind w:left="1080"/>
        <w:contextualSpacing w:val="0"/>
        <w:rPr>
          <w:rFonts w:ascii="Arial" w:eastAsia="Times New Roman" w:hAnsi="Arial" w:cs="Arial"/>
          <w:sz w:val="24"/>
          <w:szCs w:val="24"/>
          <w:u w:val="single"/>
        </w:rPr>
      </w:pPr>
      <w:r w:rsidRPr="00FC6D7A">
        <w:rPr>
          <w:rFonts w:ascii="Arial" w:eastAsia="Times New Roman" w:hAnsi="Arial" w:cs="Arial"/>
          <w:sz w:val="24"/>
          <w:szCs w:val="24"/>
          <w:u w:val="single"/>
        </w:rPr>
        <w:t xml:space="preserve">Combined County Ratio Modifier for CEAC and Rural counties – The ratio modifier for CEAC and rural counties allows certain adjacent counties to be combined for the purposes of calculating a single </w:t>
      </w:r>
      <w:r w:rsidR="00041276">
        <w:rPr>
          <w:rFonts w:ascii="Arial" w:hAnsi="Arial" w:cs="Arial"/>
          <w:sz w:val="24"/>
          <w:szCs w:val="24"/>
          <w:u w:val="single"/>
        </w:rPr>
        <w:t>specialist physician</w:t>
      </w:r>
      <w:r w:rsidRPr="00FC6D7A">
        <w:rPr>
          <w:rFonts w:ascii="Arial" w:eastAsia="Times New Roman" w:hAnsi="Arial" w:cs="Arial"/>
          <w:sz w:val="24"/>
          <w:szCs w:val="24"/>
          <w:u w:val="single"/>
        </w:rPr>
        <w:t xml:space="preserve"> ratio </w:t>
      </w:r>
      <w:r w:rsidR="00041276">
        <w:rPr>
          <w:rFonts w:ascii="Arial" w:eastAsia="Times New Roman" w:hAnsi="Arial" w:cs="Arial"/>
          <w:sz w:val="24"/>
          <w:szCs w:val="24"/>
          <w:u w:val="single"/>
        </w:rPr>
        <w:t xml:space="preserve">for the specialty type, </w:t>
      </w:r>
      <w:r w:rsidRPr="00FC6D7A">
        <w:rPr>
          <w:rFonts w:ascii="Arial" w:eastAsia="Times New Roman" w:hAnsi="Arial" w:cs="Arial"/>
          <w:sz w:val="24"/>
          <w:szCs w:val="24"/>
          <w:u w:val="single"/>
        </w:rPr>
        <w:t>applied to each of the combined counties. The Combined County Ratio Modifier for CEAC and Rural counties is subject to the following requirements:</w:t>
      </w:r>
    </w:p>
    <w:p w14:paraId="32A734AA" w14:textId="77777777" w:rsidR="00DA5C12" w:rsidRPr="00EA3D08" w:rsidRDefault="00DA5C12" w:rsidP="00096F57">
      <w:pPr>
        <w:pStyle w:val="ListParagraph"/>
        <w:numPr>
          <w:ilvl w:val="0"/>
          <w:numId w:val="12"/>
        </w:numPr>
        <w:spacing w:after="240"/>
        <w:ind w:left="1800"/>
        <w:contextualSpacing w:val="0"/>
        <w:rPr>
          <w:rStyle w:val="normaltextrun"/>
          <w:rFonts w:ascii="Arial" w:hAnsi="Arial" w:cs="Arial"/>
          <w:sz w:val="24"/>
          <w:szCs w:val="24"/>
          <w:u w:val="single"/>
        </w:rPr>
      </w:pPr>
      <w:r w:rsidRPr="00EA3D08">
        <w:rPr>
          <w:rStyle w:val="normaltextrun"/>
          <w:rFonts w:ascii="Arial" w:hAnsi="Arial" w:cs="Arial"/>
          <w:sz w:val="24"/>
          <w:szCs w:val="24"/>
          <w:u w:val="single"/>
        </w:rPr>
        <w:t>A combined pair or grouping of counties shall consist of one of the following:</w:t>
      </w:r>
    </w:p>
    <w:p w14:paraId="539C1A39" w14:textId="59661737" w:rsidR="00DA5C12" w:rsidRPr="00EA3D08" w:rsidRDefault="00DA5C12" w:rsidP="003C1402">
      <w:pPr>
        <w:pStyle w:val="paragraph"/>
        <w:numPr>
          <w:ilvl w:val="0"/>
          <w:numId w:val="18"/>
        </w:numPr>
        <w:spacing w:before="0" w:beforeAutospacing="0" w:after="240" w:afterAutospacing="0"/>
        <w:ind w:left="2880"/>
        <w:textAlignment w:val="baseline"/>
        <w:rPr>
          <w:rStyle w:val="normaltextrun"/>
          <w:rFonts w:ascii="Arial" w:hAnsi="Arial" w:cs="Arial"/>
          <w:color w:val="000000" w:themeColor="text1"/>
          <w:u w:val="single"/>
        </w:rPr>
      </w:pPr>
      <w:r w:rsidRPr="00EA3D08">
        <w:rPr>
          <w:rStyle w:val="normaltextrun"/>
          <w:rFonts w:ascii="Arial" w:hAnsi="Arial" w:cs="Arial"/>
          <w:color w:val="000000" w:themeColor="text1"/>
          <w:u w:val="single"/>
        </w:rPr>
        <w:t>Deficient County Anchor</w:t>
      </w:r>
      <w:r w:rsidR="00FC6D7A" w:rsidRPr="00EA3D08">
        <w:rPr>
          <w:rStyle w:val="normaltextrun"/>
          <w:rFonts w:ascii="Arial" w:hAnsi="Arial" w:cs="Arial"/>
          <w:color w:val="000000" w:themeColor="text1"/>
          <w:u w:val="single"/>
        </w:rPr>
        <w:t xml:space="preserve"> - </w:t>
      </w:r>
      <w:r w:rsidRPr="00EA3D08">
        <w:rPr>
          <w:rStyle w:val="normaltextrun"/>
          <w:rFonts w:ascii="Arial" w:hAnsi="Arial" w:cs="Arial"/>
          <w:color w:val="000000" w:themeColor="text1"/>
          <w:u w:val="single"/>
        </w:rPr>
        <w:t>Grouping: A single Rural or CEAC county that fails to meet the FTE ratio standard, combined with one or more adjacent counties which meet the ratio standard; or</w:t>
      </w:r>
    </w:p>
    <w:p w14:paraId="26A6ECF4" w14:textId="77777777" w:rsidR="00DA5C12" w:rsidRPr="00EA3D08" w:rsidRDefault="00DA5C12" w:rsidP="003C1402">
      <w:pPr>
        <w:pStyle w:val="paragraph"/>
        <w:numPr>
          <w:ilvl w:val="0"/>
          <w:numId w:val="18"/>
        </w:numPr>
        <w:spacing w:before="0" w:beforeAutospacing="0" w:after="240" w:afterAutospacing="0"/>
        <w:ind w:left="2880"/>
        <w:textAlignment w:val="baseline"/>
        <w:rPr>
          <w:rStyle w:val="normaltextrun"/>
          <w:rFonts w:ascii="Arial" w:hAnsi="Arial" w:cs="Arial"/>
          <w:color w:val="000000" w:themeColor="text1"/>
          <w:u w:val="single"/>
        </w:rPr>
      </w:pPr>
      <w:r w:rsidRPr="00EA3D08">
        <w:rPr>
          <w:rStyle w:val="normaltextrun"/>
          <w:rFonts w:ascii="Arial" w:hAnsi="Arial" w:cs="Arial"/>
          <w:color w:val="000000" w:themeColor="text1"/>
          <w:u w:val="single"/>
        </w:rPr>
        <w:t>Sufficient County Anchor - Grouping: A single county that meets the ratio standard, combined with one or more adjacent Rural or CEAC counties which do not meet the ratio standard.</w:t>
      </w:r>
    </w:p>
    <w:p w14:paraId="6CDD03DC" w14:textId="535C17C0" w:rsidR="00DA5C12" w:rsidRPr="00C56EA5" w:rsidRDefault="00DA5C12" w:rsidP="003C1402">
      <w:pPr>
        <w:pStyle w:val="ListParagraph"/>
        <w:numPr>
          <w:ilvl w:val="0"/>
          <w:numId w:val="12"/>
        </w:numPr>
        <w:spacing w:after="240"/>
        <w:ind w:left="1800"/>
        <w:contextualSpacing w:val="0"/>
        <w:rPr>
          <w:rStyle w:val="normaltextrun"/>
          <w:rFonts w:ascii="Arial" w:hAnsi="Arial" w:cs="Arial"/>
          <w:color w:val="000000" w:themeColor="text1"/>
          <w:sz w:val="24"/>
          <w:szCs w:val="24"/>
          <w:u w:val="single"/>
        </w:rPr>
      </w:pPr>
      <w:r w:rsidRPr="00EA3D08">
        <w:rPr>
          <w:rStyle w:val="normaltextrun"/>
          <w:rFonts w:ascii="Arial" w:hAnsi="Arial" w:cs="Arial"/>
          <w:color w:val="000000" w:themeColor="text1"/>
          <w:sz w:val="24"/>
          <w:szCs w:val="24"/>
          <w:u w:val="single"/>
        </w:rPr>
        <w:t xml:space="preserve">No county shall be </w:t>
      </w:r>
      <w:r w:rsidRPr="00EA3D08">
        <w:rPr>
          <w:rStyle w:val="normaltextrun"/>
          <w:rFonts w:ascii="Arial" w:hAnsi="Arial" w:cs="Arial"/>
          <w:sz w:val="24"/>
          <w:szCs w:val="24"/>
          <w:u w:val="single"/>
        </w:rPr>
        <w:t xml:space="preserve">included in more than one county grouping </w:t>
      </w:r>
      <w:r w:rsidR="00C474F7">
        <w:rPr>
          <w:rStyle w:val="normaltextrun"/>
          <w:rFonts w:ascii="Arial" w:hAnsi="Arial" w:cs="Arial"/>
          <w:sz w:val="24"/>
          <w:szCs w:val="24"/>
          <w:u w:val="single"/>
        </w:rPr>
        <w:t xml:space="preserve">for </w:t>
      </w:r>
      <w:r w:rsidR="00C474F7" w:rsidRPr="00C56EA5">
        <w:rPr>
          <w:rStyle w:val="normaltextrun"/>
          <w:rFonts w:ascii="Arial" w:hAnsi="Arial" w:cs="Arial"/>
          <w:sz w:val="24"/>
          <w:szCs w:val="24"/>
          <w:u w:val="single"/>
        </w:rPr>
        <w:t xml:space="preserve">the specialist physician type </w:t>
      </w:r>
      <w:r w:rsidRPr="00C56EA5">
        <w:rPr>
          <w:rStyle w:val="normaltextrun"/>
          <w:rFonts w:ascii="Arial" w:hAnsi="Arial" w:cs="Arial"/>
          <w:sz w:val="24"/>
          <w:szCs w:val="24"/>
          <w:u w:val="single"/>
        </w:rPr>
        <w:t xml:space="preserve">within the same network for the purposes of meeting the </w:t>
      </w:r>
      <w:r w:rsidRPr="00C56EA5">
        <w:rPr>
          <w:rStyle w:val="normaltextrun"/>
          <w:rFonts w:ascii="Arial" w:hAnsi="Arial" w:cs="Arial"/>
          <w:color w:val="000000" w:themeColor="text1"/>
          <w:sz w:val="24"/>
          <w:szCs w:val="24"/>
          <w:u w:val="single"/>
        </w:rPr>
        <w:t>ratio standard</w:t>
      </w:r>
      <w:r w:rsidR="00C474F7" w:rsidRPr="00C56EA5">
        <w:rPr>
          <w:rStyle w:val="normaltextrun"/>
          <w:rFonts w:ascii="Arial" w:hAnsi="Arial" w:cs="Arial"/>
          <w:color w:val="000000" w:themeColor="text1"/>
          <w:sz w:val="24"/>
          <w:szCs w:val="24"/>
          <w:u w:val="single"/>
        </w:rPr>
        <w:t xml:space="preserve"> for the specialty type</w:t>
      </w:r>
      <w:r w:rsidRPr="00C56EA5">
        <w:rPr>
          <w:rStyle w:val="normaltextrun"/>
          <w:rFonts w:ascii="Arial" w:hAnsi="Arial" w:cs="Arial"/>
          <w:color w:val="000000" w:themeColor="text1"/>
          <w:sz w:val="24"/>
          <w:szCs w:val="24"/>
          <w:u w:val="single"/>
        </w:rPr>
        <w:t>.</w:t>
      </w:r>
    </w:p>
    <w:p w14:paraId="75EA0A1A" w14:textId="3249A5CB" w:rsidR="00DA5C12" w:rsidRPr="00C56EA5" w:rsidRDefault="00DA5C12" w:rsidP="003C1402">
      <w:pPr>
        <w:pStyle w:val="ListParagraph"/>
        <w:numPr>
          <w:ilvl w:val="0"/>
          <w:numId w:val="12"/>
        </w:numPr>
        <w:spacing w:after="240"/>
        <w:ind w:left="1800"/>
        <w:contextualSpacing w:val="0"/>
        <w:rPr>
          <w:rStyle w:val="normaltextrun"/>
          <w:rFonts w:ascii="Arial" w:hAnsi="Arial" w:cs="Arial"/>
          <w:color w:val="000000" w:themeColor="text1"/>
          <w:sz w:val="24"/>
          <w:szCs w:val="24"/>
          <w:u w:val="single"/>
        </w:rPr>
      </w:pPr>
      <w:r w:rsidRPr="00C56EA5">
        <w:rPr>
          <w:rStyle w:val="normaltextrun"/>
          <w:rFonts w:ascii="Arial" w:hAnsi="Arial" w:cs="Arial"/>
          <w:color w:val="000000" w:themeColor="text1"/>
          <w:sz w:val="24"/>
          <w:szCs w:val="24"/>
          <w:u w:val="single"/>
        </w:rPr>
        <w:t>In order to be combined in a grouping, each Rural or CEAC county in the grouping that fails to meet the ratio standard (deficient county) must be geographically adjacent to each county in the grouping that meets the ratio standard (sufficient county)</w:t>
      </w:r>
      <w:r w:rsidR="006B2910" w:rsidRPr="00C56EA5">
        <w:rPr>
          <w:rStyle w:val="normaltextrun"/>
          <w:rFonts w:ascii="Arial" w:hAnsi="Arial" w:cs="Arial"/>
          <w:color w:val="000000" w:themeColor="text1"/>
          <w:sz w:val="24"/>
          <w:szCs w:val="24"/>
          <w:u w:val="single"/>
        </w:rPr>
        <w:t xml:space="preserve">. Certain exceptions apply, as set forth in </w:t>
      </w:r>
      <w:r w:rsidR="006B2910" w:rsidRPr="00220438">
        <w:rPr>
          <w:rStyle w:val="normaltextrun"/>
          <w:rFonts w:ascii="Arial" w:hAnsi="Arial" w:cs="Arial"/>
          <w:b/>
          <w:bCs/>
          <w:color w:val="000000" w:themeColor="text1"/>
          <w:sz w:val="24"/>
          <w:szCs w:val="24"/>
          <w:u w:val="single"/>
        </w:rPr>
        <w:t>Schedule D-4</w:t>
      </w:r>
      <w:r w:rsidRPr="00220438">
        <w:rPr>
          <w:rStyle w:val="normaltextrun"/>
          <w:rFonts w:ascii="Arial" w:hAnsi="Arial" w:cs="Arial"/>
          <w:b/>
          <w:bCs/>
          <w:color w:val="000000" w:themeColor="text1"/>
          <w:sz w:val="24"/>
          <w:szCs w:val="24"/>
          <w:u w:val="single"/>
        </w:rPr>
        <w:t>.</w:t>
      </w:r>
      <w:r w:rsidR="00BC5B13" w:rsidRPr="00C56EA5">
        <w:rPr>
          <w:rFonts w:ascii="Arial" w:eastAsia="Times New Roman" w:hAnsi="Arial" w:cs="Arial"/>
          <w:sz w:val="24"/>
          <w:szCs w:val="24"/>
          <w:u w:val="single"/>
        </w:rPr>
        <w:t xml:space="preserve"> For adjacent counties and adjacent county exceptions, please refer to </w:t>
      </w:r>
      <w:r w:rsidR="00F24B9D" w:rsidRPr="00C56EA5">
        <w:rPr>
          <w:rFonts w:ascii="Arial" w:eastAsia="Times New Roman" w:hAnsi="Arial" w:cs="Arial"/>
          <w:b/>
          <w:bCs/>
          <w:sz w:val="24"/>
          <w:szCs w:val="24"/>
          <w:u w:val="single"/>
        </w:rPr>
        <w:t>Schedule D-4</w:t>
      </w:r>
      <w:r w:rsidR="00F24B9D" w:rsidRPr="00C56EA5">
        <w:rPr>
          <w:rFonts w:ascii="Arial" w:eastAsia="Times New Roman" w:hAnsi="Arial" w:cs="Arial"/>
          <w:sz w:val="24"/>
          <w:szCs w:val="24"/>
          <w:u w:val="single"/>
        </w:rPr>
        <w:t xml:space="preserve"> and </w:t>
      </w:r>
      <w:r w:rsidR="00BC5B13" w:rsidRPr="00C56EA5">
        <w:rPr>
          <w:rFonts w:ascii="Arial" w:eastAsia="Times New Roman" w:hAnsi="Arial" w:cs="Arial"/>
          <w:sz w:val="24"/>
          <w:szCs w:val="24"/>
          <w:u w:val="single"/>
        </w:rPr>
        <w:t xml:space="preserve">the attached document entitled </w:t>
      </w:r>
      <w:r w:rsidR="00D5626C" w:rsidRPr="001F3247">
        <w:rPr>
          <w:rFonts w:ascii="Arial" w:hAnsi="Arial" w:cs="Arial"/>
          <w:b/>
          <w:sz w:val="24"/>
          <w:szCs w:val="24"/>
          <w:u w:val="single"/>
        </w:rPr>
        <w:t>“</w:t>
      </w:r>
      <w:r w:rsidR="00D5626C" w:rsidRPr="0049306E">
        <w:rPr>
          <w:rFonts w:ascii="Arial" w:hAnsi="Arial" w:cs="Arial"/>
          <w:b/>
          <w:bCs/>
          <w:sz w:val="24"/>
          <w:szCs w:val="24"/>
          <w:u w:val="single"/>
        </w:rPr>
        <w:t>Adjacent Counties and Exceptions for RY 2025 Standards and Methodology.”</w:t>
      </w:r>
    </w:p>
    <w:p w14:paraId="2E9278F7" w14:textId="77777777" w:rsidR="00DA5C12" w:rsidRPr="00EA3D08" w:rsidRDefault="00DA5C12" w:rsidP="003C1402">
      <w:pPr>
        <w:pStyle w:val="ListParagraph"/>
        <w:numPr>
          <w:ilvl w:val="0"/>
          <w:numId w:val="12"/>
        </w:numPr>
        <w:spacing w:after="240"/>
        <w:ind w:left="1800"/>
        <w:contextualSpacing w:val="0"/>
        <w:rPr>
          <w:rFonts w:ascii="Arial" w:hAnsi="Arial" w:cs="Arial"/>
          <w:color w:val="000000" w:themeColor="text1"/>
          <w:sz w:val="24"/>
          <w:szCs w:val="24"/>
          <w:u w:val="single"/>
        </w:rPr>
      </w:pPr>
      <w:r w:rsidRPr="00EA3D08">
        <w:rPr>
          <w:rStyle w:val="normaltextrun"/>
          <w:rFonts w:ascii="Arial" w:hAnsi="Arial" w:cs="Arial"/>
          <w:color w:val="000000" w:themeColor="text1"/>
          <w:sz w:val="24"/>
          <w:szCs w:val="24"/>
          <w:u w:val="single"/>
        </w:rPr>
        <w:lastRenderedPageBreak/>
        <w:t>A sufficient county may be a county outside of the network service area.</w:t>
      </w:r>
    </w:p>
    <w:p w14:paraId="44375666" w14:textId="7F535C33" w:rsidR="00DA5C12" w:rsidRPr="003D6B64" w:rsidRDefault="00DA5C12" w:rsidP="003C1402">
      <w:pPr>
        <w:pStyle w:val="ListParagraph"/>
        <w:numPr>
          <w:ilvl w:val="0"/>
          <w:numId w:val="12"/>
        </w:numPr>
        <w:spacing w:after="240"/>
        <w:ind w:left="1800"/>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t xml:space="preserve">The </w:t>
      </w:r>
      <w:r w:rsidR="003F683F">
        <w:rPr>
          <w:rFonts w:ascii="Arial" w:eastAsia="Times New Roman" w:hAnsi="Arial" w:cs="Arial"/>
          <w:sz w:val="24"/>
          <w:szCs w:val="24"/>
          <w:u w:val="single"/>
        </w:rPr>
        <w:t>methodology</w:t>
      </w:r>
      <w:r w:rsidRPr="003D6B64">
        <w:rPr>
          <w:rFonts w:ascii="Arial" w:eastAsia="Times New Roman" w:hAnsi="Arial" w:cs="Arial"/>
          <w:sz w:val="24"/>
          <w:szCs w:val="24"/>
          <w:u w:val="single"/>
        </w:rPr>
        <w:t xml:space="preserve"> for the Combined County Ratio Modifier </w:t>
      </w:r>
      <w:r w:rsidR="003F683F">
        <w:rPr>
          <w:rFonts w:ascii="Arial" w:eastAsia="Times New Roman" w:hAnsi="Arial" w:cs="Arial"/>
          <w:sz w:val="24"/>
          <w:szCs w:val="24"/>
          <w:u w:val="single"/>
        </w:rPr>
        <w:t>is</w:t>
      </w:r>
      <w:r w:rsidRPr="003D6B64">
        <w:rPr>
          <w:rFonts w:ascii="Arial" w:eastAsia="Times New Roman" w:hAnsi="Arial" w:cs="Arial"/>
          <w:sz w:val="24"/>
          <w:szCs w:val="24"/>
          <w:u w:val="single"/>
        </w:rPr>
        <w:t xml:space="preserve"> set </w:t>
      </w:r>
      <w:r w:rsidRPr="00F24B9D">
        <w:rPr>
          <w:rFonts w:ascii="Arial" w:eastAsia="Times New Roman" w:hAnsi="Arial" w:cs="Arial"/>
          <w:sz w:val="24"/>
          <w:szCs w:val="24"/>
          <w:u w:val="single"/>
        </w:rPr>
        <w:t>forth in</w:t>
      </w:r>
      <w:r w:rsidRPr="00F24B9D">
        <w:rPr>
          <w:rFonts w:ascii="Arial" w:hAnsi="Arial" w:cs="Arial"/>
          <w:sz w:val="24"/>
          <w:szCs w:val="24"/>
        </w:rPr>
        <w:t xml:space="preserve"> </w:t>
      </w:r>
      <w:r w:rsidRPr="00F90474">
        <w:rPr>
          <w:rFonts w:ascii="Arial" w:hAnsi="Arial" w:cs="Arial"/>
          <w:b/>
          <w:bCs/>
          <w:sz w:val="24"/>
          <w:szCs w:val="24"/>
          <w:u w:val="single"/>
        </w:rPr>
        <w:t xml:space="preserve">Schedule </w:t>
      </w:r>
      <w:r w:rsidR="000603DD" w:rsidRPr="00F90474">
        <w:rPr>
          <w:rFonts w:ascii="Arial" w:hAnsi="Arial" w:cs="Arial"/>
          <w:b/>
          <w:bCs/>
          <w:sz w:val="24"/>
          <w:szCs w:val="24"/>
          <w:u w:val="single"/>
        </w:rPr>
        <w:t>D</w:t>
      </w:r>
      <w:r w:rsidRPr="00F90474">
        <w:rPr>
          <w:rFonts w:ascii="Arial" w:hAnsi="Arial" w:cs="Arial"/>
          <w:b/>
          <w:bCs/>
          <w:sz w:val="24"/>
          <w:szCs w:val="24"/>
          <w:u w:val="single"/>
        </w:rPr>
        <w:t>-4.</w:t>
      </w:r>
    </w:p>
    <w:p w14:paraId="19FA6983" w14:textId="33FC50CC" w:rsidR="00DA5C12" w:rsidRPr="003D6B64" w:rsidRDefault="00DA5C12" w:rsidP="003C1402">
      <w:pPr>
        <w:pStyle w:val="ListParagraph"/>
        <w:numPr>
          <w:ilvl w:val="0"/>
          <w:numId w:val="11"/>
        </w:numPr>
        <w:spacing w:after="240"/>
        <w:ind w:left="1080"/>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t xml:space="preserve">Combined County Ratio Modifier for Large Metro, Metro, and Micro counties – The ratio modifier for Large Metro, Metro, and Micro counties allows certain adjacent counties to be combined for the purposes of calculating a single </w:t>
      </w:r>
      <w:r w:rsidR="00AC65C0">
        <w:rPr>
          <w:rFonts w:ascii="Arial" w:eastAsia="Times New Roman" w:hAnsi="Arial" w:cs="Arial"/>
          <w:sz w:val="24"/>
          <w:szCs w:val="24"/>
          <w:u w:val="single"/>
        </w:rPr>
        <w:t xml:space="preserve">ratio for the </w:t>
      </w:r>
      <w:r w:rsidR="00506B11">
        <w:rPr>
          <w:rFonts w:ascii="Arial" w:hAnsi="Arial" w:cs="Arial"/>
          <w:sz w:val="24"/>
          <w:szCs w:val="24"/>
          <w:u w:val="single"/>
        </w:rPr>
        <w:t>specialist physician type</w:t>
      </w:r>
      <w:r w:rsidR="00AC65C0">
        <w:rPr>
          <w:rFonts w:ascii="Arial" w:eastAsia="Times New Roman" w:hAnsi="Arial" w:cs="Arial"/>
          <w:sz w:val="24"/>
          <w:szCs w:val="24"/>
          <w:u w:val="single"/>
        </w:rPr>
        <w:t xml:space="preserve">, </w:t>
      </w:r>
      <w:r w:rsidRPr="003D6B64">
        <w:rPr>
          <w:rFonts w:ascii="Arial" w:eastAsia="Times New Roman" w:hAnsi="Arial" w:cs="Arial"/>
          <w:sz w:val="24"/>
          <w:szCs w:val="24"/>
          <w:u w:val="single"/>
        </w:rPr>
        <w:t>applied to each of the combined counties</w:t>
      </w:r>
      <w:r w:rsidRPr="00A45445">
        <w:rPr>
          <w:rFonts w:ascii="Arial" w:eastAsia="Times New Roman" w:hAnsi="Arial" w:cs="Arial"/>
          <w:sz w:val="24"/>
          <w:szCs w:val="24"/>
          <w:u w:val="single"/>
        </w:rPr>
        <w:t xml:space="preserve">. </w:t>
      </w:r>
      <w:r w:rsidR="00730433" w:rsidRPr="00A45445">
        <w:rPr>
          <w:rFonts w:ascii="Arial" w:eastAsia="Times New Roman" w:hAnsi="Arial" w:cs="Arial"/>
          <w:sz w:val="24"/>
          <w:szCs w:val="24"/>
          <w:u w:val="single"/>
        </w:rPr>
        <w:t xml:space="preserve">This modifier is only available if </w:t>
      </w:r>
      <w:r w:rsidR="006E44E1">
        <w:rPr>
          <w:rFonts w:ascii="Arial" w:eastAsia="Times New Roman" w:hAnsi="Arial" w:cs="Arial"/>
          <w:sz w:val="24"/>
          <w:szCs w:val="24"/>
          <w:u w:val="single"/>
        </w:rPr>
        <w:t xml:space="preserve">reported data demonstrates the </w:t>
      </w:r>
      <w:r w:rsidR="00363B1C">
        <w:rPr>
          <w:rFonts w:ascii="Arial" w:eastAsia="Times New Roman" w:hAnsi="Arial" w:cs="Arial"/>
          <w:sz w:val="24"/>
          <w:szCs w:val="24"/>
          <w:u w:val="single"/>
        </w:rPr>
        <w:t xml:space="preserve">plan network meets or exceeds </w:t>
      </w:r>
      <w:r w:rsidR="00F3291B" w:rsidRPr="00A45445">
        <w:rPr>
          <w:rFonts w:ascii="Arial" w:eastAsia="Times New Roman" w:hAnsi="Arial" w:cs="Arial"/>
          <w:sz w:val="24"/>
          <w:szCs w:val="24"/>
          <w:u w:val="single"/>
        </w:rPr>
        <w:t xml:space="preserve">a threshold number of licensed providers </w:t>
      </w:r>
      <w:r w:rsidR="005A0EFB" w:rsidRPr="00A45445">
        <w:rPr>
          <w:rFonts w:ascii="Arial" w:eastAsia="Times New Roman" w:hAnsi="Arial" w:cs="Arial"/>
          <w:sz w:val="24"/>
          <w:szCs w:val="24"/>
          <w:u w:val="single"/>
        </w:rPr>
        <w:t xml:space="preserve">practicing in the county. </w:t>
      </w:r>
      <w:r w:rsidRPr="00A45445">
        <w:rPr>
          <w:rFonts w:ascii="Arial" w:eastAsia="Times New Roman" w:hAnsi="Arial" w:cs="Arial"/>
          <w:sz w:val="24"/>
          <w:szCs w:val="24"/>
          <w:u w:val="single"/>
        </w:rPr>
        <w:t>The Ratio Modifier for Large Metro, Metro, and Micro counties is subject to the</w:t>
      </w:r>
      <w:r w:rsidRPr="003D6B64">
        <w:rPr>
          <w:rFonts w:ascii="Arial" w:eastAsia="Times New Roman" w:hAnsi="Arial" w:cs="Arial"/>
          <w:sz w:val="24"/>
          <w:szCs w:val="24"/>
          <w:u w:val="single"/>
        </w:rPr>
        <w:t xml:space="preserve"> following requirements:</w:t>
      </w:r>
    </w:p>
    <w:p w14:paraId="36AE93FE" w14:textId="34F6E4BD" w:rsidR="00DA5C12" w:rsidRPr="00DA2842" w:rsidRDefault="00DA5C12" w:rsidP="003C1402">
      <w:pPr>
        <w:pStyle w:val="ListParagraph"/>
        <w:numPr>
          <w:ilvl w:val="0"/>
          <w:numId w:val="5"/>
        </w:numPr>
        <w:spacing w:after="240"/>
        <w:ind w:left="1800"/>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t xml:space="preserve">Large Metro, Metro, and Micro counties </w:t>
      </w:r>
      <w:r w:rsidR="00096C32">
        <w:rPr>
          <w:rFonts w:ascii="Arial" w:eastAsia="Times New Roman" w:hAnsi="Arial" w:cs="Arial"/>
          <w:sz w:val="24"/>
          <w:szCs w:val="24"/>
          <w:u w:val="single"/>
        </w:rPr>
        <w:t xml:space="preserve">are only eligible to </w:t>
      </w:r>
      <w:r w:rsidRPr="003D6B64">
        <w:rPr>
          <w:rFonts w:ascii="Arial" w:eastAsia="Times New Roman" w:hAnsi="Arial" w:cs="Arial"/>
          <w:sz w:val="24"/>
          <w:szCs w:val="24"/>
          <w:u w:val="single"/>
        </w:rPr>
        <w:t xml:space="preserve">be combined when </w:t>
      </w:r>
      <w:r w:rsidR="00E976C2">
        <w:rPr>
          <w:rFonts w:ascii="Arial" w:hAnsi="Arial" w:cs="Arial"/>
          <w:sz w:val="24"/>
          <w:szCs w:val="24"/>
          <w:u w:val="single"/>
        </w:rPr>
        <w:t xml:space="preserve">the </w:t>
      </w:r>
      <w:r w:rsidR="001A044E">
        <w:rPr>
          <w:rFonts w:ascii="Arial" w:hAnsi="Arial" w:cs="Arial"/>
          <w:sz w:val="24"/>
          <w:szCs w:val="24"/>
          <w:u w:val="single"/>
        </w:rPr>
        <w:t xml:space="preserve">plan has reported a minimum number of </w:t>
      </w:r>
      <w:r w:rsidR="00096C32">
        <w:rPr>
          <w:rFonts w:ascii="Arial" w:hAnsi="Arial" w:cs="Arial"/>
          <w:sz w:val="24"/>
          <w:szCs w:val="24"/>
          <w:u w:val="single"/>
        </w:rPr>
        <w:t xml:space="preserve">network providers of the </w:t>
      </w:r>
      <w:r w:rsidR="00E976C2">
        <w:rPr>
          <w:rFonts w:ascii="Arial" w:hAnsi="Arial" w:cs="Arial"/>
          <w:sz w:val="24"/>
          <w:szCs w:val="24"/>
          <w:u w:val="single"/>
        </w:rPr>
        <w:t>specialist physician</w:t>
      </w:r>
      <w:r w:rsidR="00096C32">
        <w:rPr>
          <w:rFonts w:ascii="Arial" w:hAnsi="Arial" w:cs="Arial"/>
          <w:sz w:val="24"/>
          <w:szCs w:val="24"/>
          <w:u w:val="single"/>
        </w:rPr>
        <w:t xml:space="preserve"> </w:t>
      </w:r>
      <w:r w:rsidR="000513BB">
        <w:rPr>
          <w:rFonts w:ascii="Arial" w:hAnsi="Arial" w:cs="Arial"/>
          <w:sz w:val="24"/>
          <w:szCs w:val="24"/>
          <w:u w:val="single"/>
        </w:rPr>
        <w:t xml:space="preserve">provider type, </w:t>
      </w:r>
      <w:r w:rsidRPr="003D6B64">
        <w:rPr>
          <w:rFonts w:ascii="Arial" w:hAnsi="Arial" w:cs="Arial"/>
          <w:sz w:val="24"/>
          <w:szCs w:val="24"/>
          <w:u w:val="single"/>
        </w:rPr>
        <w:t>within the county</w:t>
      </w:r>
      <w:r w:rsidR="001A044E">
        <w:rPr>
          <w:rFonts w:ascii="Arial" w:hAnsi="Arial" w:cs="Arial"/>
          <w:sz w:val="24"/>
          <w:szCs w:val="24"/>
          <w:u w:val="single"/>
        </w:rPr>
        <w:t xml:space="preserve">. </w:t>
      </w:r>
      <w:r w:rsidR="007C19B5">
        <w:rPr>
          <w:rFonts w:ascii="Arial" w:hAnsi="Arial" w:cs="Arial"/>
          <w:sz w:val="24"/>
          <w:szCs w:val="24"/>
          <w:u w:val="single"/>
        </w:rPr>
        <w:t xml:space="preserve">The threshold requirements for </w:t>
      </w:r>
      <w:r w:rsidR="00B04B13">
        <w:rPr>
          <w:rFonts w:ascii="Arial" w:hAnsi="Arial" w:cs="Arial"/>
          <w:sz w:val="24"/>
          <w:szCs w:val="24"/>
          <w:u w:val="single"/>
        </w:rPr>
        <w:t xml:space="preserve">eligibility for </w:t>
      </w:r>
      <w:r w:rsidR="007C19B5">
        <w:rPr>
          <w:rFonts w:ascii="Arial" w:hAnsi="Arial" w:cs="Arial"/>
          <w:sz w:val="24"/>
          <w:szCs w:val="24"/>
          <w:u w:val="single"/>
        </w:rPr>
        <w:t xml:space="preserve">each county and specialist physician type are set forth in the </w:t>
      </w:r>
      <w:r w:rsidR="008C0074">
        <w:rPr>
          <w:rFonts w:ascii="Arial" w:hAnsi="Arial" w:cs="Arial"/>
          <w:sz w:val="24"/>
          <w:szCs w:val="24"/>
          <w:u w:val="single"/>
        </w:rPr>
        <w:t xml:space="preserve">attached </w:t>
      </w:r>
      <w:r w:rsidR="0006416F" w:rsidRPr="00DA2842">
        <w:rPr>
          <w:rFonts w:ascii="Arial" w:hAnsi="Arial" w:cs="Arial"/>
          <w:b/>
          <w:sz w:val="24"/>
          <w:szCs w:val="24"/>
          <w:u w:val="single"/>
        </w:rPr>
        <w:t>Schedules D-4 and D-5,</w:t>
      </w:r>
      <w:r w:rsidR="0006416F" w:rsidRPr="0006416F">
        <w:rPr>
          <w:rFonts w:ascii="Arial" w:hAnsi="Arial" w:cs="Arial"/>
          <w:sz w:val="24"/>
          <w:szCs w:val="24"/>
          <w:u w:val="single"/>
        </w:rPr>
        <w:t xml:space="preserve"> </w:t>
      </w:r>
      <w:r w:rsidR="0006416F">
        <w:rPr>
          <w:rFonts w:ascii="Arial" w:hAnsi="Arial" w:cs="Arial"/>
          <w:sz w:val="24"/>
          <w:szCs w:val="24"/>
          <w:u w:val="single"/>
        </w:rPr>
        <w:t xml:space="preserve">and the attached </w:t>
      </w:r>
      <w:r w:rsidR="005C0FC4">
        <w:rPr>
          <w:rFonts w:ascii="Arial" w:hAnsi="Arial" w:cs="Arial"/>
          <w:sz w:val="24"/>
          <w:szCs w:val="24"/>
          <w:u w:val="single"/>
        </w:rPr>
        <w:t xml:space="preserve">document </w:t>
      </w:r>
      <w:r w:rsidR="005C0FC4" w:rsidRPr="00347A10">
        <w:rPr>
          <w:rFonts w:ascii="Arial" w:hAnsi="Arial" w:cs="Arial"/>
          <w:sz w:val="24"/>
          <w:szCs w:val="24"/>
          <w:u w:val="single"/>
        </w:rPr>
        <w:t>entitled</w:t>
      </w:r>
      <w:r w:rsidR="005C0FC4" w:rsidRPr="00347A10">
        <w:rPr>
          <w:rFonts w:ascii="Arial" w:hAnsi="Arial" w:cs="Arial"/>
          <w:b/>
          <w:bCs/>
          <w:sz w:val="24"/>
          <w:szCs w:val="24"/>
          <w:u w:val="single"/>
        </w:rPr>
        <w:t xml:space="preserve"> </w:t>
      </w:r>
      <w:r w:rsidR="00AC0E58" w:rsidRPr="00347A10">
        <w:rPr>
          <w:rFonts w:ascii="Arial" w:hAnsi="Arial" w:cs="Arial"/>
          <w:b/>
          <w:bCs/>
          <w:sz w:val="24"/>
          <w:szCs w:val="24"/>
          <w:u w:val="single"/>
        </w:rPr>
        <w:t>“</w:t>
      </w:r>
      <w:r w:rsidR="0094246E">
        <w:rPr>
          <w:rFonts w:ascii="Arial" w:hAnsi="Arial" w:cs="Arial"/>
          <w:b/>
          <w:sz w:val="24"/>
          <w:szCs w:val="24"/>
          <w:u w:val="single"/>
        </w:rPr>
        <w:t>RY</w:t>
      </w:r>
      <w:r w:rsidR="00C7621E">
        <w:rPr>
          <w:rFonts w:ascii="Arial" w:hAnsi="Arial" w:cs="Arial"/>
          <w:b/>
          <w:sz w:val="24"/>
          <w:szCs w:val="24"/>
          <w:u w:val="single"/>
        </w:rPr>
        <w:t xml:space="preserve"> </w:t>
      </w:r>
      <w:r w:rsidR="005E7749" w:rsidRPr="00DA2842">
        <w:rPr>
          <w:rFonts w:ascii="Arial" w:hAnsi="Arial" w:cs="Arial"/>
          <w:b/>
          <w:sz w:val="24"/>
          <w:szCs w:val="24"/>
          <w:u w:val="single"/>
        </w:rPr>
        <w:t xml:space="preserve">2025 Combined County Modifier </w:t>
      </w:r>
      <w:r w:rsidR="00C62274" w:rsidRPr="00DA2842">
        <w:rPr>
          <w:rFonts w:ascii="Arial" w:hAnsi="Arial" w:cs="Arial"/>
          <w:b/>
          <w:bCs/>
          <w:sz w:val="24"/>
          <w:szCs w:val="24"/>
          <w:u w:val="single"/>
        </w:rPr>
        <w:t>–</w:t>
      </w:r>
      <w:r w:rsidR="005E7749" w:rsidRPr="00DA2842">
        <w:rPr>
          <w:rFonts w:ascii="Arial" w:hAnsi="Arial" w:cs="Arial"/>
          <w:b/>
          <w:sz w:val="24"/>
          <w:szCs w:val="24"/>
          <w:u w:val="single"/>
        </w:rPr>
        <w:t xml:space="preserve"> Thresholds for Eligibility</w:t>
      </w:r>
      <w:r w:rsidR="00347A10" w:rsidRPr="00DA2842">
        <w:rPr>
          <w:rFonts w:ascii="Arial" w:hAnsi="Arial" w:cs="Arial"/>
          <w:b/>
          <w:sz w:val="24"/>
          <w:szCs w:val="24"/>
          <w:u w:val="single"/>
        </w:rPr>
        <w:t>.</w:t>
      </w:r>
      <w:r w:rsidR="00AC0E58" w:rsidRPr="00DA2842">
        <w:rPr>
          <w:rFonts w:ascii="Arial" w:hAnsi="Arial" w:cs="Arial"/>
          <w:sz w:val="24"/>
          <w:szCs w:val="24"/>
          <w:u w:val="single"/>
        </w:rPr>
        <w:t>”</w:t>
      </w:r>
    </w:p>
    <w:p w14:paraId="62704319" w14:textId="77777777" w:rsidR="00DA5C12" w:rsidRPr="003D6B64" w:rsidRDefault="00DA5C12" w:rsidP="003C1402">
      <w:pPr>
        <w:pStyle w:val="ListParagraph"/>
        <w:numPr>
          <w:ilvl w:val="0"/>
          <w:numId w:val="5"/>
        </w:numPr>
        <w:spacing w:after="240"/>
        <w:ind w:left="1800"/>
        <w:contextualSpacing w:val="0"/>
        <w:rPr>
          <w:rStyle w:val="normaltextrun"/>
          <w:rFonts w:ascii="Arial" w:hAnsi="Arial" w:cs="Arial"/>
          <w:sz w:val="24"/>
          <w:szCs w:val="24"/>
          <w:u w:val="single"/>
        </w:rPr>
      </w:pPr>
      <w:r w:rsidRPr="003D6B64">
        <w:rPr>
          <w:rStyle w:val="normaltextrun"/>
          <w:rFonts w:ascii="Arial" w:hAnsi="Arial" w:cs="Arial"/>
          <w:sz w:val="24"/>
          <w:szCs w:val="24"/>
          <w:u w:val="single"/>
        </w:rPr>
        <w:t>A combined pair or grouping of counties shall consist of one of the following:</w:t>
      </w:r>
    </w:p>
    <w:p w14:paraId="07CB0F65" w14:textId="77777777" w:rsidR="00DA5C12" w:rsidRPr="003D6B64" w:rsidRDefault="00DA5C12" w:rsidP="003C1402">
      <w:pPr>
        <w:pStyle w:val="paragraph"/>
        <w:numPr>
          <w:ilvl w:val="2"/>
          <w:numId w:val="12"/>
        </w:numPr>
        <w:spacing w:before="0" w:beforeAutospacing="0" w:after="240" w:afterAutospacing="0"/>
        <w:ind w:left="2707" w:hanging="187"/>
        <w:textAlignment w:val="baseline"/>
        <w:rPr>
          <w:rStyle w:val="normaltextrun"/>
          <w:rFonts w:ascii="Arial" w:hAnsi="Arial" w:cs="Arial"/>
          <w:u w:val="single"/>
        </w:rPr>
      </w:pPr>
      <w:r w:rsidRPr="003D6B64">
        <w:rPr>
          <w:rStyle w:val="normaltextrun"/>
          <w:rFonts w:ascii="Arial" w:hAnsi="Arial" w:cs="Arial"/>
          <w:u w:val="single"/>
        </w:rPr>
        <w:t>Deficient County Anchor - Grouping: A single Large Metro, Metro, or Micro county that fails to meet the FTE ratio standard, combined with one or more adjacent counties which meet the ratio standard; or</w:t>
      </w:r>
    </w:p>
    <w:p w14:paraId="141A4C18" w14:textId="77777777" w:rsidR="00DA5C12" w:rsidRPr="003D6B64" w:rsidRDefault="00DA5C12" w:rsidP="003C1402">
      <w:pPr>
        <w:pStyle w:val="paragraph"/>
        <w:numPr>
          <w:ilvl w:val="2"/>
          <w:numId w:val="12"/>
        </w:numPr>
        <w:spacing w:before="0" w:beforeAutospacing="0" w:after="240" w:afterAutospacing="0"/>
        <w:ind w:left="2707" w:hanging="187"/>
        <w:textAlignment w:val="baseline"/>
        <w:rPr>
          <w:rStyle w:val="normaltextrun"/>
          <w:rFonts w:ascii="Arial" w:hAnsi="Arial" w:cs="Arial"/>
          <w:u w:val="single"/>
        </w:rPr>
      </w:pPr>
      <w:r w:rsidRPr="003D6B64">
        <w:rPr>
          <w:rStyle w:val="normaltextrun"/>
          <w:rFonts w:ascii="Arial" w:hAnsi="Arial" w:cs="Arial"/>
          <w:u w:val="single"/>
        </w:rPr>
        <w:t>Sufficient County Anchor - Grouping: A single county that meets the ratio standard, combined with one or more adjacent Large Metro, Metro, or Micro counties which do not meet the ratio standard.</w:t>
      </w:r>
    </w:p>
    <w:p w14:paraId="4FE5E340" w14:textId="77777777" w:rsidR="00DA5C12" w:rsidRPr="003D6B64" w:rsidRDefault="00DA5C12" w:rsidP="003C1402">
      <w:pPr>
        <w:pStyle w:val="ListParagraph"/>
        <w:numPr>
          <w:ilvl w:val="0"/>
          <w:numId w:val="5"/>
        </w:numPr>
        <w:tabs>
          <w:tab w:val="left" w:pos="2520"/>
        </w:tabs>
        <w:spacing w:after="240"/>
        <w:ind w:left="1800"/>
        <w:contextualSpacing w:val="0"/>
        <w:rPr>
          <w:rStyle w:val="normaltextrun"/>
          <w:rFonts w:ascii="Arial" w:hAnsi="Arial" w:cs="Arial"/>
          <w:sz w:val="24"/>
          <w:szCs w:val="24"/>
          <w:u w:val="single"/>
        </w:rPr>
      </w:pPr>
      <w:r w:rsidRPr="003D6B64">
        <w:rPr>
          <w:rStyle w:val="normaltextrun"/>
          <w:rFonts w:ascii="Arial" w:hAnsi="Arial" w:cs="Arial"/>
          <w:sz w:val="24"/>
          <w:szCs w:val="24"/>
          <w:u w:val="single"/>
        </w:rPr>
        <w:t>The grouping of counties to meet the FTE ratio standard shall be subject to the following rules:</w:t>
      </w:r>
    </w:p>
    <w:p w14:paraId="414BE05F" w14:textId="6F86B3F8" w:rsidR="00DA5C12" w:rsidRPr="003D6B64" w:rsidRDefault="00DA5C12" w:rsidP="001E39F4">
      <w:pPr>
        <w:pStyle w:val="paragraph"/>
        <w:numPr>
          <w:ilvl w:val="0"/>
          <w:numId w:val="44"/>
        </w:numPr>
        <w:spacing w:before="0" w:beforeAutospacing="0" w:after="240" w:afterAutospacing="0"/>
        <w:ind w:left="2707" w:hanging="187"/>
        <w:textAlignment w:val="baseline"/>
        <w:rPr>
          <w:rStyle w:val="normaltextrun"/>
          <w:rFonts w:ascii="Arial" w:hAnsi="Arial" w:cs="Arial"/>
          <w:u w:val="single"/>
        </w:rPr>
      </w:pPr>
      <w:r w:rsidRPr="003D6B64">
        <w:rPr>
          <w:rStyle w:val="normaltextrun"/>
          <w:rFonts w:ascii="Arial" w:hAnsi="Arial" w:cs="Arial"/>
          <w:u w:val="single"/>
        </w:rPr>
        <w:t xml:space="preserve">No county shall be included in more than one county grouping </w:t>
      </w:r>
      <w:r w:rsidR="00ED179A">
        <w:rPr>
          <w:rStyle w:val="normaltextrun"/>
          <w:rFonts w:ascii="Arial" w:hAnsi="Arial" w:cs="Arial"/>
          <w:u w:val="single"/>
        </w:rPr>
        <w:t xml:space="preserve">the specialist physician type </w:t>
      </w:r>
      <w:r w:rsidR="00ED179A" w:rsidRPr="00EA3D08">
        <w:rPr>
          <w:rStyle w:val="normaltextrun"/>
          <w:rFonts w:ascii="Arial" w:hAnsi="Arial" w:cs="Arial"/>
          <w:u w:val="single"/>
        </w:rPr>
        <w:t xml:space="preserve">within the same network for the purposes of meeting the </w:t>
      </w:r>
      <w:r w:rsidR="00ED179A" w:rsidRPr="00837E88">
        <w:rPr>
          <w:rStyle w:val="normaltextrun"/>
          <w:rFonts w:ascii="Arial" w:hAnsi="Arial" w:cs="Arial"/>
          <w:u w:val="single"/>
        </w:rPr>
        <w:t>ratio standard for the specialty type</w:t>
      </w:r>
      <w:r w:rsidR="00ED179A">
        <w:rPr>
          <w:rStyle w:val="normaltextrun"/>
          <w:rFonts w:ascii="Arial" w:hAnsi="Arial" w:cs="Arial"/>
          <w:u w:val="single"/>
        </w:rPr>
        <w:t>.</w:t>
      </w:r>
    </w:p>
    <w:p w14:paraId="16EB795A" w14:textId="0EEF42F3" w:rsidR="00DA5C12" w:rsidRPr="001E39F4" w:rsidRDefault="00DA5C12" w:rsidP="001E39F4">
      <w:pPr>
        <w:pStyle w:val="paragraph"/>
        <w:numPr>
          <w:ilvl w:val="0"/>
          <w:numId w:val="44"/>
        </w:numPr>
        <w:spacing w:before="0" w:beforeAutospacing="0" w:after="240" w:afterAutospacing="0"/>
        <w:ind w:left="2707" w:hanging="187"/>
        <w:textAlignment w:val="baseline"/>
        <w:rPr>
          <w:rStyle w:val="normaltextrun"/>
          <w:rFonts w:ascii="Arial" w:hAnsi="Arial" w:cs="Arial"/>
          <w:u w:val="single"/>
        </w:rPr>
      </w:pPr>
      <w:r w:rsidRPr="001E39F4">
        <w:rPr>
          <w:rStyle w:val="normaltextrun"/>
          <w:rFonts w:ascii="Arial" w:hAnsi="Arial" w:cs="Arial"/>
          <w:u w:val="single"/>
        </w:rPr>
        <w:t xml:space="preserve">In order to be combined in a grouping, each county in the grouping that fails to meet the ratio standard (deficient county) must be geographically adjacent to each county in the </w:t>
      </w:r>
      <w:r w:rsidRPr="001E39F4">
        <w:rPr>
          <w:rStyle w:val="normaltextrun"/>
          <w:rFonts w:ascii="Arial" w:hAnsi="Arial" w:cs="Arial"/>
          <w:u w:val="single"/>
        </w:rPr>
        <w:lastRenderedPageBreak/>
        <w:t>grouping that meets the ratio standard (sufficient county).</w:t>
      </w:r>
      <w:r w:rsidR="00AC7E01" w:rsidRPr="001E39F4">
        <w:rPr>
          <w:rStyle w:val="normaltextrun"/>
          <w:rFonts w:ascii="Arial" w:hAnsi="Arial" w:cs="Arial"/>
          <w:u w:val="single"/>
        </w:rPr>
        <w:t xml:space="preserve"> </w:t>
      </w:r>
      <w:r w:rsidR="00896F64" w:rsidRPr="001E39F4">
        <w:rPr>
          <w:rStyle w:val="normaltextrun"/>
          <w:rFonts w:ascii="Arial" w:hAnsi="Arial" w:cs="Arial"/>
          <w:u w:val="single"/>
        </w:rPr>
        <w:t xml:space="preserve">Certain exceptions apply, as set forth in </w:t>
      </w:r>
      <w:r w:rsidR="00896F64" w:rsidRPr="00FB2792">
        <w:rPr>
          <w:rStyle w:val="normaltextrun"/>
          <w:rFonts w:ascii="Arial" w:hAnsi="Arial" w:cs="Arial"/>
          <w:b/>
          <w:bCs/>
          <w:u w:val="single"/>
        </w:rPr>
        <w:t>Schedule A-4</w:t>
      </w:r>
      <w:r w:rsidR="00896F64" w:rsidRPr="001E39F4">
        <w:rPr>
          <w:rStyle w:val="normaltextrun"/>
          <w:rFonts w:ascii="Arial" w:hAnsi="Arial" w:cs="Arial"/>
          <w:u w:val="single"/>
        </w:rPr>
        <w:t xml:space="preserve">. </w:t>
      </w:r>
      <w:r w:rsidR="006D2638" w:rsidRPr="001E39F4">
        <w:rPr>
          <w:rStyle w:val="normaltextrun"/>
          <w:rFonts w:ascii="Arial" w:hAnsi="Arial" w:cs="Arial"/>
          <w:u w:val="single"/>
        </w:rPr>
        <w:t xml:space="preserve">For adjacent counties and adjacent county exceptions, please refer to </w:t>
      </w:r>
      <w:r w:rsidR="006D2638" w:rsidRPr="00FB2792">
        <w:rPr>
          <w:rStyle w:val="normaltextrun"/>
          <w:rFonts w:ascii="Arial" w:hAnsi="Arial" w:cs="Arial"/>
          <w:b/>
          <w:bCs/>
          <w:u w:val="single"/>
        </w:rPr>
        <w:t xml:space="preserve">Schedule </w:t>
      </w:r>
      <w:r w:rsidR="00B214F3" w:rsidRPr="00FB2792">
        <w:rPr>
          <w:rStyle w:val="normaltextrun"/>
          <w:rFonts w:ascii="Arial" w:hAnsi="Arial" w:cs="Arial"/>
          <w:b/>
          <w:bCs/>
          <w:u w:val="single"/>
        </w:rPr>
        <w:t>D</w:t>
      </w:r>
      <w:r w:rsidR="006D2638" w:rsidRPr="00FB2792">
        <w:rPr>
          <w:rStyle w:val="normaltextrun"/>
          <w:rFonts w:ascii="Arial" w:hAnsi="Arial" w:cs="Arial"/>
          <w:b/>
          <w:bCs/>
          <w:u w:val="single"/>
        </w:rPr>
        <w:t>-4</w:t>
      </w:r>
      <w:r w:rsidR="006D2638" w:rsidRPr="001E39F4">
        <w:rPr>
          <w:rStyle w:val="normaltextrun"/>
          <w:rFonts w:ascii="Arial" w:hAnsi="Arial" w:cs="Arial"/>
          <w:u w:val="single"/>
        </w:rPr>
        <w:t xml:space="preserve"> and the attached document entitled “</w:t>
      </w:r>
      <w:r w:rsidR="006D2638" w:rsidRPr="00FB2792">
        <w:rPr>
          <w:rStyle w:val="normaltextrun"/>
          <w:rFonts w:ascii="Arial" w:hAnsi="Arial" w:cs="Arial"/>
          <w:b/>
          <w:bCs/>
          <w:u w:val="single"/>
        </w:rPr>
        <w:t>Adjacent Counties and Exceptions for RY 2025 Standards and Methodology</w:t>
      </w:r>
      <w:r w:rsidR="006D2638" w:rsidRPr="001E39F4">
        <w:rPr>
          <w:rStyle w:val="normaltextrun"/>
          <w:rFonts w:ascii="Arial" w:hAnsi="Arial" w:cs="Arial"/>
          <w:u w:val="single"/>
        </w:rPr>
        <w:t>.”</w:t>
      </w:r>
    </w:p>
    <w:p w14:paraId="629B2731" w14:textId="32094AA8" w:rsidR="00DA5C12" w:rsidRPr="00C71460" w:rsidRDefault="00DA5C12" w:rsidP="006A712F">
      <w:pPr>
        <w:pStyle w:val="ListParagraph"/>
        <w:numPr>
          <w:ilvl w:val="0"/>
          <w:numId w:val="5"/>
        </w:numPr>
        <w:tabs>
          <w:tab w:val="left" w:pos="2520"/>
        </w:tabs>
        <w:spacing w:after="240"/>
        <w:ind w:left="1800"/>
        <w:contextualSpacing w:val="0"/>
        <w:rPr>
          <w:rFonts w:ascii="Arial" w:eastAsia="Times New Roman" w:hAnsi="Arial" w:cs="Arial"/>
          <w:sz w:val="24"/>
          <w:szCs w:val="24"/>
          <w:u w:val="single"/>
        </w:rPr>
      </w:pPr>
      <w:r w:rsidRPr="00C71460">
        <w:rPr>
          <w:rStyle w:val="normaltextrun"/>
          <w:rFonts w:ascii="Arial" w:hAnsi="Arial" w:cs="Arial"/>
          <w:sz w:val="24"/>
          <w:szCs w:val="24"/>
          <w:u w:val="single"/>
        </w:rPr>
        <w:t>A sufficient county may be a county outside of the network service area.</w:t>
      </w:r>
    </w:p>
    <w:p w14:paraId="753B7729" w14:textId="09338B43" w:rsidR="00DA5C12" w:rsidRPr="003D6B64" w:rsidRDefault="00DA5C12" w:rsidP="006A712F">
      <w:pPr>
        <w:pStyle w:val="ListParagraph"/>
        <w:numPr>
          <w:ilvl w:val="0"/>
          <w:numId w:val="5"/>
        </w:numPr>
        <w:spacing w:after="240"/>
        <w:ind w:left="1800"/>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t>Large Metro, Metro, or Micro counties that meet the threshold requirement for a combined county grou</w:t>
      </w:r>
      <w:r w:rsidRPr="009C3BE8">
        <w:rPr>
          <w:rFonts w:ascii="Arial" w:eastAsia="Times New Roman" w:hAnsi="Arial" w:cs="Arial"/>
          <w:sz w:val="24"/>
          <w:szCs w:val="24"/>
          <w:u w:val="single"/>
        </w:rPr>
        <w:t>ping, shall</w:t>
      </w:r>
      <w:r w:rsidRPr="003D6B64">
        <w:rPr>
          <w:rFonts w:ascii="Arial" w:eastAsia="Times New Roman" w:hAnsi="Arial" w:cs="Arial"/>
          <w:sz w:val="24"/>
          <w:szCs w:val="24"/>
          <w:u w:val="single"/>
        </w:rPr>
        <w:t xml:space="preserve"> be combined according to the formulas for the Combined County Ratio Modifier set forth in</w:t>
      </w:r>
      <w:r w:rsidRPr="003D6B64">
        <w:rPr>
          <w:rFonts w:ascii="Arial" w:hAnsi="Arial" w:cs="Arial"/>
          <w:sz w:val="24"/>
          <w:szCs w:val="24"/>
          <w:u w:val="single"/>
        </w:rPr>
        <w:t xml:space="preserve"> </w:t>
      </w:r>
      <w:r w:rsidRPr="00896F64">
        <w:rPr>
          <w:rFonts w:ascii="Arial" w:hAnsi="Arial" w:cs="Arial"/>
          <w:b/>
          <w:sz w:val="24"/>
          <w:szCs w:val="24"/>
          <w:u w:val="single"/>
        </w:rPr>
        <w:t>Schedule</w:t>
      </w:r>
      <w:r w:rsidR="00CF356A" w:rsidRPr="00896F64">
        <w:rPr>
          <w:rFonts w:ascii="Arial" w:hAnsi="Arial" w:cs="Arial"/>
          <w:b/>
          <w:sz w:val="24"/>
          <w:szCs w:val="24"/>
          <w:u w:val="single"/>
        </w:rPr>
        <w:t>s</w:t>
      </w:r>
      <w:r w:rsidRPr="00896F64">
        <w:rPr>
          <w:rFonts w:ascii="Arial" w:hAnsi="Arial" w:cs="Arial"/>
          <w:b/>
          <w:sz w:val="24"/>
          <w:szCs w:val="24"/>
          <w:u w:val="single"/>
        </w:rPr>
        <w:t xml:space="preserve"> </w:t>
      </w:r>
      <w:r w:rsidR="000603DD" w:rsidRPr="00896F64">
        <w:rPr>
          <w:rFonts w:ascii="Arial" w:hAnsi="Arial" w:cs="Arial"/>
          <w:b/>
          <w:sz w:val="24"/>
          <w:szCs w:val="24"/>
          <w:u w:val="single"/>
        </w:rPr>
        <w:t>D</w:t>
      </w:r>
      <w:r w:rsidRPr="00896F64">
        <w:rPr>
          <w:rFonts w:ascii="Arial" w:hAnsi="Arial" w:cs="Arial"/>
          <w:b/>
          <w:sz w:val="24"/>
          <w:szCs w:val="24"/>
          <w:u w:val="single"/>
        </w:rPr>
        <w:t>-4</w:t>
      </w:r>
      <w:r w:rsidR="00CF356A" w:rsidRPr="00896F64">
        <w:rPr>
          <w:rFonts w:ascii="Arial" w:hAnsi="Arial" w:cs="Arial"/>
          <w:b/>
          <w:sz w:val="24"/>
          <w:szCs w:val="24"/>
          <w:u w:val="single"/>
        </w:rPr>
        <w:t xml:space="preserve"> and D-5</w:t>
      </w:r>
      <w:r w:rsidRPr="00896F64">
        <w:rPr>
          <w:rFonts w:ascii="Arial" w:hAnsi="Arial" w:cs="Arial"/>
          <w:b/>
          <w:sz w:val="24"/>
          <w:szCs w:val="24"/>
          <w:u w:val="single"/>
        </w:rPr>
        <w:t>.</w:t>
      </w:r>
    </w:p>
    <w:p w14:paraId="05576379" w14:textId="703CB827" w:rsidR="00DA5C12" w:rsidRPr="0008595B" w:rsidRDefault="00DA5C12" w:rsidP="006A712F">
      <w:pPr>
        <w:pStyle w:val="ListParagraph"/>
        <w:numPr>
          <w:ilvl w:val="0"/>
          <w:numId w:val="11"/>
        </w:numPr>
        <w:spacing w:after="240"/>
        <w:ind w:left="1080"/>
        <w:contextualSpacing w:val="0"/>
        <w:rPr>
          <w:rFonts w:ascii="Arial" w:hAnsi="Arial" w:cs="Arial"/>
          <w:color w:val="000000" w:themeColor="text1"/>
          <w:sz w:val="24"/>
          <w:szCs w:val="24"/>
        </w:rPr>
      </w:pPr>
      <w:r w:rsidRPr="003D6B64">
        <w:rPr>
          <w:rFonts w:ascii="Arial" w:hAnsi="Arial" w:cs="Arial"/>
          <w:color w:val="000000" w:themeColor="text1"/>
          <w:sz w:val="24"/>
          <w:szCs w:val="24"/>
          <w:u w:val="single"/>
        </w:rPr>
        <w:t xml:space="preserve">Ratio Modifier for Partial Counties – Where the Plan’s network service area includes a partial county and the network is unable to meet the ratio standard for the partial county, the </w:t>
      </w:r>
      <w:r w:rsidRPr="0039410C">
        <w:rPr>
          <w:rFonts w:ascii="Arial" w:hAnsi="Arial" w:cs="Arial"/>
          <w:color w:val="000000" w:themeColor="text1"/>
          <w:sz w:val="24"/>
          <w:szCs w:val="24"/>
          <w:u w:val="single"/>
        </w:rPr>
        <w:t>D</w:t>
      </w:r>
      <w:r w:rsidRPr="008D6996">
        <w:rPr>
          <w:rFonts w:ascii="Arial" w:hAnsi="Arial" w:cs="Arial"/>
          <w:color w:val="000000" w:themeColor="text1"/>
          <w:sz w:val="24"/>
          <w:szCs w:val="24"/>
          <w:u w:val="single"/>
        </w:rPr>
        <w:t xml:space="preserve">MHC </w:t>
      </w:r>
      <w:r w:rsidR="00CA7FCD" w:rsidRPr="008D6996">
        <w:rPr>
          <w:rFonts w:ascii="Arial" w:hAnsi="Arial" w:cs="Arial"/>
          <w:color w:val="000000" w:themeColor="text1"/>
          <w:sz w:val="24"/>
          <w:szCs w:val="24"/>
          <w:u w:val="single"/>
        </w:rPr>
        <w:t xml:space="preserve">will </w:t>
      </w:r>
      <w:r w:rsidRPr="008D6996">
        <w:rPr>
          <w:rFonts w:ascii="Arial" w:hAnsi="Arial" w:cs="Arial"/>
          <w:color w:val="000000" w:themeColor="text1"/>
          <w:sz w:val="24"/>
          <w:szCs w:val="24"/>
          <w:u w:val="single"/>
        </w:rPr>
        <w:t>treat</w:t>
      </w:r>
      <w:r w:rsidRPr="0039410C">
        <w:rPr>
          <w:rFonts w:ascii="Arial" w:hAnsi="Arial" w:cs="Arial"/>
          <w:color w:val="000000" w:themeColor="text1"/>
          <w:sz w:val="24"/>
          <w:szCs w:val="24"/>
          <w:u w:val="single"/>
        </w:rPr>
        <w:t xml:space="preserve"> the</w:t>
      </w:r>
      <w:r w:rsidRPr="003D6B64">
        <w:rPr>
          <w:rFonts w:ascii="Arial" w:hAnsi="Arial" w:cs="Arial"/>
          <w:color w:val="000000" w:themeColor="text1"/>
          <w:sz w:val="24"/>
          <w:szCs w:val="24"/>
          <w:u w:val="single"/>
        </w:rPr>
        <w:t xml:space="preserve"> county like a CEAC or Rural county for the purposes of applying the Combined County Ratio Modifier for CEAC and Rural Counties to the partial county</w:t>
      </w:r>
      <w:r w:rsidR="00126E42">
        <w:rPr>
          <w:rFonts w:ascii="Arial" w:hAnsi="Arial" w:cs="Arial"/>
          <w:color w:val="000000" w:themeColor="text1"/>
          <w:sz w:val="24"/>
          <w:szCs w:val="24"/>
          <w:u w:val="single"/>
        </w:rPr>
        <w:t>, if the following</w:t>
      </w:r>
      <w:r w:rsidR="0008595B">
        <w:rPr>
          <w:rFonts w:ascii="Arial" w:hAnsi="Arial" w:cs="Arial"/>
          <w:color w:val="000000" w:themeColor="text1"/>
          <w:sz w:val="24"/>
          <w:szCs w:val="24"/>
          <w:u w:val="single"/>
        </w:rPr>
        <w:t xml:space="preserve"> </w:t>
      </w:r>
      <w:r w:rsidR="0008595B" w:rsidRPr="00121BD5">
        <w:rPr>
          <w:rFonts w:ascii="Arial" w:hAnsi="Arial" w:cs="Arial"/>
          <w:sz w:val="24"/>
          <w:szCs w:val="24"/>
          <w:u w:val="single"/>
        </w:rPr>
        <w:t>conditions are met: 1) The ZIP Codes within the network service area cover less than 20% of the county population, and 2) The population within these ZIP Codes is below 20,000, as measured by population points.</w:t>
      </w:r>
    </w:p>
    <w:p w14:paraId="048FCAF0" w14:textId="77777777" w:rsidR="00DA5C12" w:rsidRPr="007953A8" w:rsidRDefault="00DA5C12" w:rsidP="008D6996">
      <w:pPr>
        <w:pStyle w:val="Heading3"/>
        <w:ind w:left="1080"/>
        <w:rPr>
          <w:rFonts w:eastAsia="Times New Roman" w:cs="Arial"/>
          <w:sz w:val="28"/>
          <w:szCs w:val="28"/>
        </w:rPr>
      </w:pPr>
      <w:r w:rsidRPr="007953A8">
        <w:t>The Network Ratio Standard and Alternative Methodologies</w:t>
      </w:r>
    </w:p>
    <w:p w14:paraId="1B691296" w14:textId="16994850" w:rsidR="00DA5C12" w:rsidRPr="007953A8" w:rsidRDefault="00DA5C12" w:rsidP="006A712F">
      <w:pPr>
        <w:pStyle w:val="ListParagraph"/>
        <w:numPr>
          <w:ilvl w:val="0"/>
          <w:numId w:val="22"/>
        </w:numPr>
        <w:spacing w:after="240" w:line="259" w:lineRule="auto"/>
        <w:ind w:left="720"/>
        <w:contextualSpacing w:val="0"/>
        <w:rPr>
          <w:rFonts w:ascii="Arial" w:eastAsia="Times New Roman" w:hAnsi="Arial" w:cs="Arial"/>
          <w:sz w:val="24"/>
          <w:szCs w:val="24"/>
          <w:u w:val="single"/>
        </w:rPr>
      </w:pPr>
      <w:r w:rsidRPr="007953A8">
        <w:rPr>
          <w:rStyle w:val="normaltextrun"/>
          <w:rFonts w:ascii="Arial" w:hAnsi="Arial" w:cs="Arial"/>
          <w:sz w:val="24"/>
          <w:szCs w:val="24"/>
          <w:u w:val="single"/>
          <w:shd w:val="clear" w:color="auto" w:fill="FFFFFF"/>
        </w:rPr>
        <w:t xml:space="preserve">Reported networks shall meet the FTE ratio standard </w:t>
      </w:r>
      <w:r w:rsidR="000458DD">
        <w:rPr>
          <w:rStyle w:val="normaltextrun"/>
          <w:rFonts w:ascii="Arial" w:hAnsi="Arial" w:cs="Arial"/>
          <w:sz w:val="24"/>
          <w:szCs w:val="24"/>
          <w:u w:val="single"/>
          <w:shd w:val="clear" w:color="auto" w:fill="FFFFFF"/>
        </w:rPr>
        <w:t xml:space="preserve">for each specialist physician type, </w:t>
      </w:r>
      <w:r w:rsidRPr="007953A8">
        <w:rPr>
          <w:rStyle w:val="normaltextrun"/>
          <w:rFonts w:ascii="Arial" w:hAnsi="Arial" w:cs="Arial"/>
          <w:sz w:val="24"/>
          <w:szCs w:val="24"/>
          <w:u w:val="single"/>
          <w:shd w:val="clear" w:color="auto" w:fill="FFFFFF"/>
        </w:rPr>
        <w:t xml:space="preserve">for the entire network. </w:t>
      </w:r>
      <w:r w:rsidRPr="007953A8" w:rsidDel="00524AE4">
        <w:rPr>
          <w:rStyle w:val="normaltextrun"/>
          <w:rFonts w:ascii="Arial" w:hAnsi="Arial" w:cs="Arial"/>
          <w:sz w:val="24"/>
          <w:szCs w:val="24"/>
          <w:u w:val="single"/>
          <w:shd w:val="clear" w:color="auto" w:fill="FFFFFF"/>
        </w:rPr>
        <w:t>The</w:t>
      </w:r>
      <w:r w:rsidRPr="007953A8">
        <w:rPr>
          <w:rStyle w:val="normaltextrun"/>
          <w:rFonts w:ascii="Arial" w:hAnsi="Arial" w:cs="Arial"/>
          <w:sz w:val="24"/>
          <w:szCs w:val="24"/>
          <w:u w:val="single"/>
          <w:shd w:val="clear" w:color="auto" w:fill="FFFFFF"/>
        </w:rPr>
        <w:t xml:space="preserve"> network ratio is calculated by dividing the total enrollment reported for the network by the combined FTE values of all network providers reported for the network</w:t>
      </w:r>
      <w:r w:rsidR="000458DD">
        <w:rPr>
          <w:rStyle w:val="normaltextrun"/>
          <w:rFonts w:ascii="Arial" w:hAnsi="Arial" w:cs="Arial"/>
          <w:sz w:val="24"/>
          <w:szCs w:val="24"/>
          <w:u w:val="single"/>
          <w:shd w:val="clear" w:color="auto" w:fill="FFFFFF"/>
        </w:rPr>
        <w:t xml:space="preserve"> for the specialist physician specialty type</w:t>
      </w:r>
      <w:r w:rsidRPr="007953A8">
        <w:rPr>
          <w:rStyle w:val="normaltextrun"/>
          <w:rFonts w:ascii="Arial" w:hAnsi="Arial" w:cs="Arial"/>
          <w:sz w:val="24"/>
          <w:szCs w:val="24"/>
          <w:u w:val="single"/>
          <w:shd w:val="clear" w:color="auto" w:fill="FFFFFF"/>
        </w:rPr>
        <w:t>, subject to the following rules:</w:t>
      </w:r>
    </w:p>
    <w:p w14:paraId="28FABD37" w14:textId="08675311" w:rsidR="00DA5C12" w:rsidRPr="007953A8" w:rsidRDefault="00DA5C12" w:rsidP="00962FEB">
      <w:pPr>
        <w:pStyle w:val="ListParagraph"/>
        <w:numPr>
          <w:ilvl w:val="0"/>
          <w:numId w:val="21"/>
        </w:numPr>
        <w:spacing w:after="240"/>
        <w:ind w:left="1080"/>
        <w:contextualSpacing w:val="0"/>
        <w:rPr>
          <w:rFonts w:ascii="Arial" w:eastAsia="Times New Roman" w:hAnsi="Arial" w:cs="Arial"/>
          <w:sz w:val="24"/>
          <w:szCs w:val="24"/>
          <w:u w:val="single"/>
        </w:rPr>
      </w:pPr>
      <w:r w:rsidRPr="007953A8">
        <w:rPr>
          <w:rFonts w:ascii="Arial" w:eastAsia="Times New Roman" w:hAnsi="Arial" w:cs="Arial"/>
          <w:sz w:val="24"/>
          <w:szCs w:val="24"/>
          <w:u w:val="single"/>
        </w:rPr>
        <w:t xml:space="preserve">The combined FTE value for all network providers </w:t>
      </w:r>
      <w:r w:rsidR="00C37E63">
        <w:rPr>
          <w:rFonts w:ascii="Arial" w:eastAsia="Times New Roman" w:hAnsi="Arial" w:cs="Arial"/>
          <w:sz w:val="24"/>
          <w:szCs w:val="24"/>
          <w:u w:val="single"/>
        </w:rPr>
        <w:t xml:space="preserve">of the specialty type </w:t>
      </w:r>
      <w:r w:rsidRPr="007953A8">
        <w:rPr>
          <w:rFonts w:ascii="Arial" w:eastAsia="Times New Roman" w:hAnsi="Arial" w:cs="Arial"/>
          <w:sz w:val="24"/>
          <w:szCs w:val="24"/>
          <w:u w:val="single"/>
        </w:rPr>
        <w:t>is the summation of the following two network provider FTE values:</w:t>
      </w:r>
    </w:p>
    <w:p w14:paraId="3639ADB7" w14:textId="77777777" w:rsidR="00DA5C12" w:rsidRPr="007953A8" w:rsidRDefault="00DA5C12" w:rsidP="006A712F">
      <w:pPr>
        <w:pStyle w:val="ListParagraph"/>
        <w:numPr>
          <w:ilvl w:val="2"/>
          <w:numId w:val="19"/>
        </w:numPr>
        <w:spacing w:after="240"/>
        <w:ind w:left="1800"/>
        <w:contextualSpacing w:val="0"/>
        <w:rPr>
          <w:rFonts w:ascii="Arial" w:eastAsia="Times New Roman" w:hAnsi="Arial" w:cs="Arial"/>
          <w:sz w:val="24"/>
          <w:szCs w:val="24"/>
          <w:u w:val="single"/>
        </w:rPr>
      </w:pPr>
      <w:r w:rsidRPr="007953A8">
        <w:rPr>
          <w:rFonts w:ascii="Arial" w:eastAsia="Times New Roman" w:hAnsi="Arial" w:cs="Arial"/>
          <w:sz w:val="24"/>
          <w:szCs w:val="24"/>
          <w:u w:val="single"/>
        </w:rPr>
        <w:t>The total FTE values from each network service area county, including the telehealth-only modifier and applicable alternative methodologies that impact the FTE values; and</w:t>
      </w:r>
    </w:p>
    <w:p w14:paraId="5DCA0AF0" w14:textId="77777777" w:rsidR="00DA5C12" w:rsidRPr="007953A8" w:rsidRDefault="00DA5C12" w:rsidP="006A712F">
      <w:pPr>
        <w:pStyle w:val="ListParagraph"/>
        <w:numPr>
          <w:ilvl w:val="2"/>
          <w:numId w:val="19"/>
        </w:numPr>
        <w:spacing w:after="240"/>
        <w:ind w:left="1800"/>
        <w:contextualSpacing w:val="0"/>
        <w:rPr>
          <w:rStyle w:val="normaltextrun"/>
          <w:rFonts w:ascii="Arial" w:hAnsi="Arial" w:cs="Arial"/>
          <w:sz w:val="24"/>
          <w:szCs w:val="24"/>
          <w:u w:val="single"/>
          <w:shd w:val="clear" w:color="auto" w:fill="FFFFFF"/>
        </w:rPr>
      </w:pPr>
      <w:r w:rsidRPr="007953A8">
        <w:rPr>
          <w:rFonts w:ascii="Arial" w:eastAsia="Times New Roman" w:hAnsi="Arial" w:cs="Arial"/>
          <w:sz w:val="24"/>
          <w:szCs w:val="24"/>
          <w:u w:val="single"/>
        </w:rPr>
        <w:t>If applicable, the</w:t>
      </w:r>
      <w:r w:rsidRPr="007953A8">
        <w:rPr>
          <w:rStyle w:val="normaltextrun"/>
          <w:rFonts w:ascii="Arial" w:hAnsi="Arial" w:cs="Arial"/>
          <w:sz w:val="24"/>
          <w:szCs w:val="24"/>
          <w:u w:val="single"/>
          <w:shd w:val="clear" w:color="auto" w:fill="FFFFFF"/>
        </w:rPr>
        <w:t xml:space="preserve"> FTE values for in-person network providers who have practice locations in counties outside of the network service area. The telehealth-only modifier and </w:t>
      </w:r>
      <w:r w:rsidRPr="007953A8">
        <w:rPr>
          <w:rFonts w:ascii="Arial" w:eastAsia="Times New Roman" w:hAnsi="Arial" w:cs="Arial"/>
          <w:sz w:val="24"/>
          <w:szCs w:val="24"/>
          <w:u w:val="single"/>
        </w:rPr>
        <w:t xml:space="preserve">alternative methodologies </w:t>
      </w:r>
      <w:r w:rsidRPr="007953A8">
        <w:rPr>
          <w:rStyle w:val="normaltextrun"/>
          <w:rFonts w:ascii="Arial" w:hAnsi="Arial" w:cs="Arial"/>
          <w:sz w:val="24"/>
          <w:szCs w:val="24"/>
          <w:u w:val="single"/>
          <w:shd w:val="clear" w:color="auto" w:fill="FFFFFF"/>
        </w:rPr>
        <w:t>are not applied to network providers in counties outside of the network service area.</w:t>
      </w:r>
    </w:p>
    <w:p w14:paraId="77D3985F" w14:textId="6217731D" w:rsidR="004604CB" w:rsidRPr="007953A8" w:rsidRDefault="00BD0C02" w:rsidP="006A712F">
      <w:pPr>
        <w:pStyle w:val="ListParagraph"/>
        <w:numPr>
          <w:ilvl w:val="0"/>
          <w:numId w:val="21"/>
        </w:numPr>
        <w:spacing w:after="240"/>
        <w:ind w:left="1080"/>
        <w:contextualSpacing w:val="0"/>
        <w:rPr>
          <w:rFonts w:ascii="Arial" w:hAnsi="Arial" w:cs="Arial"/>
          <w:sz w:val="24"/>
          <w:szCs w:val="24"/>
          <w:u w:val="single"/>
          <w:shd w:val="clear" w:color="auto" w:fill="FFFFFF"/>
        </w:rPr>
      </w:pPr>
      <w:r w:rsidRPr="007953A8">
        <w:rPr>
          <w:rFonts w:ascii="Arial" w:hAnsi="Arial" w:cs="Arial"/>
          <w:sz w:val="24"/>
          <w:szCs w:val="24"/>
          <w:u w:val="single"/>
          <w:shd w:val="clear" w:color="auto" w:fill="FFFFFF"/>
        </w:rPr>
        <w:t xml:space="preserve">When </w:t>
      </w:r>
      <w:r w:rsidR="009D2A3B" w:rsidRPr="007953A8">
        <w:rPr>
          <w:rFonts w:ascii="Arial" w:hAnsi="Arial" w:cs="Arial"/>
          <w:sz w:val="24"/>
          <w:szCs w:val="24"/>
          <w:u w:val="single"/>
          <w:shd w:val="clear" w:color="auto" w:fill="FFFFFF"/>
        </w:rPr>
        <w:t xml:space="preserve">an alternative methodology is applied to a </w:t>
      </w:r>
      <w:r w:rsidR="0091369D" w:rsidRPr="007953A8">
        <w:rPr>
          <w:rFonts w:ascii="Arial" w:hAnsi="Arial" w:cs="Arial"/>
          <w:sz w:val="24"/>
          <w:szCs w:val="24"/>
          <w:u w:val="single"/>
          <w:shd w:val="clear" w:color="auto" w:fill="FFFFFF"/>
        </w:rPr>
        <w:t xml:space="preserve">network </w:t>
      </w:r>
      <w:r w:rsidR="009D2A3B" w:rsidRPr="007953A8">
        <w:rPr>
          <w:rFonts w:ascii="Arial" w:hAnsi="Arial" w:cs="Arial"/>
          <w:sz w:val="24"/>
          <w:szCs w:val="24"/>
          <w:u w:val="single"/>
          <w:shd w:val="clear" w:color="auto" w:fill="FFFFFF"/>
        </w:rPr>
        <w:t xml:space="preserve">provider that modifies the </w:t>
      </w:r>
      <w:r w:rsidR="004719DD" w:rsidRPr="007953A8">
        <w:rPr>
          <w:rFonts w:ascii="Arial" w:hAnsi="Arial" w:cs="Arial"/>
          <w:sz w:val="24"/>
          <w:szCs w:val="24"/>
          <w:u w:val="single"/>
          <w:shd w:val="clear" w:color="auto" w:fill="FFFFFF"/>
        </w:rPr>
        <w:t xml:space="preserve">provider’s original </w:t>
      </w:r>
      <w:r w:rsidR="009D2A3B" w:rsidRPr="007953A8">
        <w:rPr>
          <w:rFonts w:ascii="Arial" w:hAnsi="Arial" w:cs="Arial"/>
          <w:sz w:val="24"/>
          <w:szCs w:val="24"/>
          <w:u w:val="single"/>
          <w:shd w:val="clear" w:color="auto" w:fill="FFFFFF"/>
        </w:rPr>
        <w:t>FTE value</w:t>
      </w:r>
      <w:r w:rsidR="004719DD" w:rsidRPr="007953A8">
        <w:rPr>
          <w:rFonts w:ascii="Arial" w:hAnsi="Arial" w:cs="Arial"/>
          <w:sz w:val="24"/>
          <w:szCs w:val="24"/>
          <w:u w:val="single"/>
          <w:shd w:val="clear" w:color="auto" w:fill="FFFFFF"/>
        </w:rPr>
        <w:t xml:space="preserve">, </w:t>
      </w:r>
      <w:r w:rsidR="0091369D" w:rsidRPr="007953A8">
        <w:rPr>
          <w:rFonts w:ascii="Arial" w:hAnsi="Arial" w:cs="Arial"/>
          <w:sz w:val="24"/>
          <w:szCs w:val="24"/>
          <w:u w:val="single"/>
          <w:shd w:val="clear" w:color="auto" w:fill="FFFFFF"/>
        </w:rPr>
        <w:t xml:space="preserve">the </w:t>
      </w:r>
      <w:r w:rsidR="009F6FB6" w:rsidRPr="007953A8">
        <w:rPr>
          <w:rFonts w:ascii="Arial" w:hAnsi="Arial" w:cs="Arial"/>
          <w:sz w:val="24"/>
          <w:szCs w:val="24"/>
          <w:u w:val="single"/>
          <w:shd w:val="clear" w:color="auto" w:fill="FFFFFF"/>
        </w:rPr>
        <w:t xml:space="preserve">application of the </w:t>
      </w:r>
      <w:r w:rsidR="0091369D" w:rsidRPr="007953A8">
        <w:rPr>
          <w:rFonts w:ascii="Arial" w:hAnsi="Arial" w:cs="Arial"/>
          <w:sz w:val="24"/>
          <w:szCs w:val="24"/>
          <w:u w:val="single"/>
          <w:shd w:val="clear" w:color="auto" w:fill="FFFFFF"/>
        </w:rPr>
        <w:t xml:space="preserve">alternative </w:t>
      </w:r>
      <w:r w:rsidR="0091369D" w:rsidRPr="00EE7DE2">
        <w:rPr>
          <w:rFonts w:ascii="Arial" w:hAnsi="Arial" w:cs="Arial"/>
          <w:sz w:val="24"/>
          <w:szCs w:val="24"/>
          <w:u w:val="single"/>
          <w:shd w:val="clear" w:color="auto" w:fill="FFFFFF"/>
        </w:rPr>
        <w:lastRenderedPageBreak/>
        <w:t xml:space="preserve">methodology shall not </w:t>
      </w:r>
      <w:r w:rsidR="00160FEC" w:rsidRPr="00EE7DE2">
        <w:rPr>
          <w:rFonts w:ascii="Arial" w:hAnsi="Arial" w:cs="Arial"/>
          <w:sz w:val="24"/>
          <w:szCs w:val="24"/>
          <w:u w:val="single"/>
          <w:shd w:val="clear" w:color="auto" w:fill="FFFFFF"/>
        </w:rPr>
        <w:t>generate</w:t>
      </w:r>
      <w:r w:rsidR="0091369D" w:rsidRPr="00EE7DE2">
        <w:rPr>
          <w:rFonts w:ascii="Arial" w:hAnsi="Arial" w:cs="Arial"/>
          <w:sz w:val="24"/>
          <w:szCs w:val="24"/>
          <w:u w:val="single"/>
          <w:shd w:val="clear" w:color="auto" w:fill="FFFFFF"/>
        </w:rPr>
        <w:t xml:space="preserve"> an FTE </w:t>
      </w:r>
      <w:r w:rsidR="009F6FB6" w:rsidRPr="00EE7DE2">
        <w:rPr>
          <w:rFonts w:ascii="Arial" w:hAnsi="Arial" w:cs="Arial"/>
          <w:sz w:val="24"/>
          <w:szCs w:val="24"/>
          <w:u w:val="single"/>
          <w:shd w:val="clear" w:color="auto" w:fill="FFFFFF"/>
        </w:rPr>
        <w:t>value for the provider that exceeds 0</w:t>
      </w:r>
      <w:r w:rsidR="0091369D" w:rsidRPr="00EE7DE2">
        <w:rPr>
          <w:rFonts w:ascii="Arial" w:hAnsi="Arial" w:cs="Arial"/>
          <w:sz w:val="24"/>
          <w:szCs w:val="24"/>
          <w:u w:val="single"/>
          <w:shd w:val="clear" w:color="auto" w:fill="FFFFFF"/>
        </w:rPr>
        <w:t>.8</w:t>
      </w:r>
      <w:r w:rsidR="00420035" w:rsidRPr="00EE7DE2">
        <w:rPr>
          <w:rFonts w:ascii="Arial" w:hAnsi="Arial" w:cs="Arial"/>
          <w:sz w:val="24"/>
          <w:szCs w:val="24"/>
          <w:u w:val="single"/>
          <w:shd w:val="clear" w:color="auto" w:fill="FFFFFF"/>
        </w:rPr>
        <w:t>.</w:t>
      </w:r>
    </w:p>
    <w:p w14:paraId="6AA53B7C" w14:textId="65EA0C29" w:rsidR="003900ED" w:rsidRDefault="00DA5C12" w:rsidP="006A712F">
      <w:pPr>
        <w:pStyle w:val="ListParagraph"/>
        <w:numPr>
          <w:ilvl w:val="0"/>
          <w:numId w:val="21"/>
        </w:numPr>
        <w:spacing w:after="240"/>
        <w:ind w:left="1080"/>
        <w:contextualSpacing w:val="0"/>
        <w:rPr>
          <w:rFonts w:ascii="Arial" w:eastAsia="Times New Roman" w:hAnsi="Arial" w:cs="Arial"/>
          <w:sz w:val="24"/>
          <w:szCs w:val="24"/>
          <w:u w:val="single"/>
        </w:rPr>
      </w:pPr>
      <w:r w:rsidRPr="00EE7DE2">
        <w:rPr>
          <w:rFonts w:ascii="Arial" w:eastAsia="Times New Roman" w:hAnsi="Arial" w:cs="Arial"/>
          <w:b/>
          <w:sz w:val="24"/>
          <w:szCs w:val="24"/>
          <w:u w:val="single"/>
        </w:rPr>
        <w:t xml:space="preserve">Schedule </w:t>
      </w:r>
      <w:r w:rsidR="000603DD" w:rsidRPr="00EE7DE2">
        <w:rPr>
          <w:rFonts w:ascii="Arial" w:eastAsia="Times New Roman" w:hAnsi="Arial" w:cs="Arial"/>
          <w:b/>
          <w:sz w:val="24"/>
          <w:szCs w:val="24"/>
          <w:u w:val="single"/>
        </w:rPr>
        <w:t>D</w:t>
      </w:r>
      <w:r w:rsidRPr="00EE7DE2">
        <w:rPr>
          <w:rFonts w:ascii="Arial" w:eastAsia="Times New Roman" w:hAnsi="Arial" w:cs="Arial"/>
          <w:b/>
          <w:sz w:val="24"/>
          <w:szCs w:val="24"/>
          <w:u w:val="single"/>
        </w:rPr>
        <w:t>-6</w:t>
      </w:r>
      <w:r w:rsidRPr="00EE7DE2">
        <w:rPr>
          <w:rFonts w:ascii="Arial" w:eastAsia="Times New Roman" w:hAnsi="Arial" w:cs="Arial"/>
          <w:sz w:val="24"/>
          <w:szCs w:val="24"/>
          <w:u w:val="single"/>
        </w:rPr>
        <w:t xml:space="preserve"> sets forth</w:t>
      </w:r>
      <w:r w:rsidRPr="007953A8">
        <w:rPr>
          <w:rFonts w:ascii="Arial" w:eastAsia="Times New Roman" w:hAnsi="Arial" w:cs="Arial"/>
          <w:sz w:val="24"/>
          <w:szCs w:val="24"/>
          <w:u w:val="single"/>
        </w:rPr>
        <w:t xml:space="preserve"> the calculations for a network ratio, including any applicable alternative methodologies.</w:t>
      </w:r>
    </w:p>
    <w:p w14:paraId="598596F3" w14:textId="75246E87" w:rsidR="00ED45EF" w:rsidRPr="008D6996" w:rsidRDefault="00E14624" w:rsidP="004E0D3A">
      <w:pPr>
        <w:pStyle w:val="Heading2"/>
        <w:rPr>
          <w:sz w:val="24"/>
          <w:szCs w:val="24"/>
        </w:rPr>
      </w:pPr>
      <w:r w:rsidRPr="008D6996">
        <w:rPr>
          <w:sz w:val="24"/>
          <w:szCs w:val="24"/>
        </w:rPr>
        <w:t xml:space="preserve">II. </w:t>
      </w:r>
      <w:r w:rsidR="00ED45EF" w:rsidRPr="008D6996">
        <w:rPr>
          <w:sz w:val="24"/>
          <w:szCs w:val="24"/>
        </w:rPr>
        <w:t>Attachments</w:t>
      </w:r>
    </w:p>
    <w:p w14:paraId="3F03EAE8" w14:textId="05DA77D2" w:rsidR="00ED45EF" w:rsidRPr="008D6996" w:rsidRDefault="00ED45EF" w:rsidP="008D6996">
      <w:pPr>
        <w:pStyle w:val="ListParagraph"/>
        <w:numPr>
          <w:ilvl w:val="0"/>
          <w:numId w:val="26"/>
        </w:numPr>
        <w:spacing w:before="240" w:after="240"/>
        <w:ind w:left="1080"/>
        <w:contextualSpacing w:val="0"/>
        <w:rPr>
          <w:rFonts w:ascii="Arial" w:eastAsia="Times New Roman" w:hAnsi="Arial" w:cs="Arial"/>
          <w:sz w:val="24"/>
          <w:szCs w:val="24"/>
          <w:u w:val="single"/>
        </w:rPr>
      </w:pPr>
      <w:r w:rsidRPr="008D6996">
        <w:rPr>
          <w:rFonts w:ascii="Arial" w:eastAsia="Times New Roman" w:hAnsi="Arial" w:cs="Arial"/>
          <w:sz w:val="24"/>
          <w:szCs w:val="24"/>
          <w:u w:val="single"/>
        </w:rPr>
        <w:t>Schedules D through D-6</w:t>
      </w:r>
    </w:p>
    <w:p w14:paraId="5917DD8B" w14:textId="0BE8270B" w:rsidR="00CA7739" w:rsidRPr="008D6996" w:rsidRDefault="00CA7739" w:rsidP="008D6996">
      <w:pPr>
        <w:pStyle w:val="ListParagraph"/>
        <w:numPr>
          <w:ilvl w:val="0"/>
          <w:numId w:val="26"/>
        </w:numPr>
        <w:spacing w:before="240" w:after="240"/>
        <w:ind w:left="1080"/>
        <w:contextualSpacing w:val="0"/>
        <w:rPr>
          <w:rFonts w:ascii="Arial" w:eastAsia="Times New Roman" w:hAnsi="Arial" w:cs="Arial"/>
          <w:sz w:val="24"/>
          <w:szCs w:val="24"/>
          <w:u w:val="single"/>
        </w:rPr>
      </w:pPr>
      <w:r w:rsidRPr="008D6996">
        <w:rPr>
          <w:rFonts w:ascii="Arial" w:hAnsi="Arial" w:cs="Arial"/>
          <w:sz w:val="24"/>
          <w:szCs w:val="24"/>
          <w:u w:val="single"/>
        </w:rPr>
        <w:t>Reporting Year 2025 Combined County Modifier – Thresholds for Eligibility</w:t>
      </w:r>
    </w:p>
    <w:p w14:paraId="5068FE20" w14:textId="58128226" w:rsidR="00985E8A" w:rsidRPr="008D6996" w:rsidRDefault="00676D3A" w:rsidP="008D6996">
      <w:pPr>
        <w:pStyle w:val="ListParagraph"/>
        <w:numPr>
          <w:ilvl w:val="0"/>
          <w:numId w:val="26"/>
        </w:numPr>
        <w:spacing w:before="240" w:after="240"/>
        <w:ind w:left="1080"/>
        <w:contextualSpacing w:val="0"/>
        <w:rPr>
          <w:rFonts w:ascii="Arial" w:eastAsia="Times New Roman" w:hAnsi="Arial" w:cs="Arial"/>
          <w:sz w:val="24"/>
          <w:szCs w:val="24"/>
          <w:u w:val="single"/>
        </w:rPr>
      </w:pPr>
      <w:r w:rsidRPr="008D6996">
        <w:rPr>
          <w:rFonts w:ascii="Arial" w:hAnsi="Arial" w:cs="Arial"/>
          <w:sz w:val="24"/>
          <w:szCs w:val="24"/>
          <w:u w:val="single"/>
        </w:rPr>
        <w:t>Adjacent Counties and Exceptions for RY 2025 Standards and Methodology</w:t>
      </w:r>
    </w:p>
    <w:sectPr w:rsidR="00985E8A" w:rsidRPr="008D6996" w:rsidSect="0090001A">
      <w:headerReference w:type="default" r:id="rId13"/>
      <w:footerReference w:type="default" r:id="rId14"/>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788F" w14:textId="77777777" w:rsidR="003427D0" w:rsidRDefault="003427D0" w:rsidP="00DA5C12">
      <w:r>
        <w:separator/>
      </w:r>
    </w:p>
  </w:endnote>
  <w:endnote w:type="continuationSeparator" w:id="0">
    <w:p w14:paraId="51A3C001" w14:textId="77777777" w:rsidR="003427D0" w:rsidRDefault="003427D0" w:rsidP="00DA5C12">
      <w:r>
        <w:continuationSeparator/>
      </w:r>
    </w:p>
  </w:endnote>
  <w:endnote w:type="continuationNotice" w:id="1">
    <w:p w14:paraId="1DD6FD45" w14:textId="77777777" w:rsidR="003427D0" w:rsidRDefault="00342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5867"/>
      <w:docPartObj>
        <w:docPartGallery w:val="Page Numbers (Bottom of Page)"/>
        <w:docPartUnique/>
      </w:docPartObj>
    </w:sdtPr>
    <w:sdtEndPr>
      <w:rPr>
        <w:rFonts w:ascii="Arial" w:hAnsi="Arial" w:cs="Arial"/>
        <w:sz w:val="24"/>
        <w:szCs w:val="24"/>
      </w:rPr>
    </w:sdtEndPr>
    <w:sdtContent>
      <w:p w14:paraId="01185B29" w14:textId="77777777" w:rsidR="007214D9" w:rsidRPr="00EE5A4F" w:rsidRDefault="002E3226">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FD98C" w14:textId="77777777" w:rsidR="003427D0" w:rsidRDefault="003427D0" w:rsidP="00DA5C12">
      <w:r>
        <w:separator/>
      </w:r>
    </w:p>
  </w:footnote>
  <w:footnote w:type="continuationSeparator" w:id="0">
    <w:p w14:paraId="3C4AA0FA" w14:textId="77777777" w:rsidR="003427D0" w:rsidRDefault="003427D0" w:rsidP="00DA5C12">
      <w:r>
        <w:continuationSeparator/>
      </w:r>
    </w:p>
  </w:footnote>
  <w:footnote w:type="continuationNotice" w:id="1">
    <w:p w14:paraId="44E1FF99" w14:textId="77777777" w:rsidR="003427D0" w:rsidRDefault="003427D0"/>
  </w:footnote>
  <w:footnote w:id="2">
    <w:p w14:paraId="3E307D72" w14:textId="772836B6" w:rsidR="008D411E" w:rsidRPr="001E1A43" w:rsidRDefault="008D411E">
      <w:pPr>
        <w:pStyle w:val="FootnoteText"/>
        <w:rPr>
          <w:rFonts w:ascii="Arial" w:hAnsi="Arial" w:cs="Arial"/>
          <w:sz w:val="24"/>
          <w:szCs w:val="24"/>
          <w:u w:val="single"/>
        </w:rPr>
      </w:pPr>
      <w:r w:rsidRPr="00190F02">
        <w:rPr>
          <w:rStyle w:val="FootnoteReference"/>
          <w:rFonts w:ascii="Arial" w:hAnsi="Arial" w:cs="Arial"/>
          <w:sz w:val="24"/>
          <w:szCs w:val="24"/>
          <w:u w:val="single"/>
        </w:rPr>
        <w:footnoteRef/>
      </w:r>
      <w:r w:rsidRPr="001E1A43">
        <w:rPr>
          <w:rFonts w:ascii="Arial" w:hAnsi="Arial" w:cs="Arial"/>
          <w:sz w:val="24"/>
          <w:szCs w:val="24"/>
          <w:u w:val="single"/>
        </w:rPr>
        <w:t xml:space="preserve"> </w:t>
      </w:r>
      <w:r w:rsidRPr="0034549E">
        <w:rPr>
          <w:rFonts w:ascii="Arial" w:hAnsi="Arial" w:cs="Arial"/>
          <w:sz w:val="24"/>
          <w:szCs w:val="24"/>
          <w:u w:val="single"/>
        </w:rPr>
        <w:t>The Knox-Keene Act is set forth in California Health &amp; Safety Code sections 1340 et seq. References to “Section” are to sections of the Act. References to “Rule” refer to the California Code of Regulations, title 28.</w:t>
      </w:r>
    </w:p>
  </w:footnote>
  <w:footnote w:id="3">
    <w:p w14:paraId="4401018E" w14:textId="351EBD26" w:rsidR="00BC5DBD" w:rsidRPr="0034549E" w:rsidRDefault="00BC5DBD">
      <w:pPr>
        <w:pStyle w:val="FootnoteText"/>
        <w:rPr>
          <w:rFonts w:ascii="Arial" w:hAnsi="Arial" w:cs="Arial"/>
          <w:sz w:val="24"/>
          <w:szCs w:val="24"/>
          <w:u w:val="single"/>
        </w:rPr>
      </w:pPr>
      <w:r w:rsidRPr="0034549E">
        <w:rPr>
          <w:rStyle w:val="FootnoteReference"/>
          <w:rFonts w:ascii="Arial" w:hAnsi="Arial" w:cs="Arial"/>
          <w:sz w:val="24"/>
          <w:szCs w:val="24"/>
          <w:u w:val="single"/>
        </w:rPr>
        <w:footnoteRef/>
      </w:r>
      <w:r w:rsidRPr="0034549E">
        <w:rPr>
          <w:rFonts w:ascii="Arial" w:hAnsi="Arial" w:cs="Arial"/>
          <w:sz w:val="24"/>
          <w:szCs w:val="24"/>
          <w:u w:val="single"/>
        </w:rPr>
        <w:t xml:space="preserve"> The standards </w:t>
      </w:r>
      <w:r w:rsidR="00207AD3" w:rsidRPr="0034549E">
        <w:rPr>
          <w:rFonts w:ascii="Arial" w:hAnsi="Arial" w:cs="Arial"/>
          <w:sz w:val="24"/>
          <w:szCs w:val="24"/>
          <w:u w:val="single"/>
        </w:rPr>
        <w:t>and methodology in</w:t>
      </w:r>
      <w:r w:rsidRPr="0034549E">
        <w:rPr>
          <w:rFonts w:ascii="Arial" w:hAnsi="Arial" w:cs="Arial"/>
          <w:sz w:val="24"/>
          <w:szCs w:val="24"/>
          <w:u w:val="single"/>
        </w:rPr>
        <w:t xml:space="preserve"> this document apply to </w:t>
      </w:r>
      <w:r w:rsidR="00207AD3" w:rsidRPr="0034549E">
        <w:rPr>
          <w:rFonts w:ascii="Arial" w:hAnsi="Arial" w:cs="Arial"/>
          <w:sz w:val="24"/>
          <w:szCs w:val="24"/>
          <w:u w:val="single"/>
        </w:rPr>
        <w:t xml:space="preserve">all reporting </w:t>
      </w:r>
      <w:r w:rsidRPr="0034549E">
        <w:rPr>
          <w:rFonts w:ascii="Arial" w:hAnsi="Arial" w:cs="Arial"/>
          <w:sz w:val="24"/>
          <w:szCs w:val="24"/>
          <w:u w:val="single"/>
        </w:rPr>
        <w:t>plan networks</w:t>
      </w:r>
      <w:r w:rsidR="00207AD3" w:rsidRPr="0034549E">
        <w:rPr>
          <w:rFonts w:ascii="Arial" w:hAnsi="Arial" w:cs="Arial"/>
          <w:sz w:val="24"/>
          <w:szCs w:val="24"/>
          <w:u w:val="single"/>
        </w:rPr>
        <w:t>, including</w:t>
      </w:r>
      <w:r w:rsidRPr="0034549E">
        <w:rPr>
          <w:rFonts w:ascii="Arial" w:hAnsi="Arial" w:cs="Arial"/>
          <w:sz w:val="24"/>
          <w:szCs w:val="24"/>
          <w:u w:val="single"/>
        </w:rPr>
        <w:t xml:space="preserve"> Medi-Cal</w:t>
      </w:r>
      <w:r w:rsidR="00207AD3" w:rsidRPr="0034549E">
        <w:rPr>
          <w:rFonts w:ascii="Arial" w:hAnsi="Arial" w:cs="Arial"/>
          <w:sz w:val="24"/>
          <w:szCs w:val="24"/>
          <w:u w:val="single"/>
        </w:rPr>
        <w:t xml:space="preserve"> networks.</w:t>
      </w:r>
    </w:p>
  </w:footnote>
  <w:footnote w:id="4">
    <w:p w14:paraId="5ABB6921" w14:textId="2E2D50C8" w:rsidR="00D479B2" w:rsidRPr="00456B6D" w:rsidRDefault="00D479B2">
      <w:pPr>
        <w:pStyle w:val="FootnoteText"/>
        <w:rPr>
          <w:rFonts w:ascii="Arial" w:hAnsi="Arial" w:cs="Arial"/>
          <w:sz w:val="24"/>
          <w:szCs w:val="24"/>
        </w:rPr>
      </w:pPr>
      <w:r w:rsidRPr="00456B6D">
        <w:rPr>
          <w:rStyle w:val="FootnoteReference"/>
          <w:rFonts w:ascii="Arial" w:hAnsi="Arial" w:cs="Arial"/>
          <w:sz w:val="24"/>
          <w:szCs w:val="24"/>
        </w:rPr>
        <w:footnoteRef/>
      </w:r>
      <w:r w:rsidRPr="00456B6D">
        <w:rPr>
          <w:rFonts w:ascii="Arial" w:hAnsi="Arial" w:cs="Arial"/>
          <w:sz w:val="24"/>
          <w:szCs w:val="24"/>
        </w:rPr>
        <w:t xml:space="preserve"> </w:t>
      </w:r>
      <w:r w:rsidR="00456B6D" w:rsidRPr="00456B6D">
        <w:rPr>
          <w:rFonts w:ascii="Arial" w:hAnsi="Arial" w:cs="Arial"/>
          <w:sz w:val="24"/>
          <w:szCs w:val="24"/>
          <w:u w:val="single"/>
        </w:rPr>
        <w:t xml:space="preserve">Compliance with these standards does not alone constitute compliance with federal and state laws regarding mental health and substance use disorder coverage and parity, including 42 U.S.C. § 300gg-26, </w:t>
      </w:r>
      <w:hyperlink r:id="rId1" w:tgtFrame="_blank" w:tooltip="https://1.next.westlaw.com/link/document/fulltext?findtype=l&amp;pubnum=1000547&amp;cite=29cfrs2590.712&amp;originatingdoc=i6c886820b56411eeb590ff4b157c4e61&amp;reftype=lq&amp;originationcontext=document&amp;transitiontype=documentitem&amp;ppcid=cd618f34ed0548d3b8713facaa616aa7&amp;contextda" w:history="1">
        <w:r w:rsidR="00456B6D" w:rsidRPr="00456B6D">
          <w:rPr>
            <w:rFonts w:ascii="Arial" w:hAnsi="Arial" w:cs="Arial"/>
            <w:sz w:val="24"/>
            <w:szCs w:val="24"/>
            <w:u w:val="single"/>
          </w:rPr>
          <w:t>29 CFR § 2590.712</w:t>
        </w:r>
      </w:hyperlink>
      <w:r w:rsidR="00456B6D" w:rsidRPr="00456B6D">
        <w:rPr>
          <w:rFonts w:ascii="Arial" w:hAnsi="Arial" w:cs="Arial"/>
          <w:sz w:val="24"/>
          <w:szCs w:val="24"/>
          <w:u w:val="single"/>
        </w:rPr>
        <w:t xml:space="preserve">, </w:t>
      </w:r>
      <w:r w:rsidR="00456B6D" w:rsidRPr="00456B6D">
        <w:rPr>
          <w:rFonts w:ascii="Arial" w:eastAsiaTheme="majorEastAsia" w:hAnsi="Arial" w:cs="Arial"/>
          <w:sz w:val="24"/>
          <w:szCs w:val="24"/>
          <w:u w:val="single"/>
        </w:rPr>
        <w:t>45 CFR § 146.136</w:t>
      </w:r>
      <w:r w:rsidR="00456B6D" w:rsidRPr="00456B6D">
        <w:rPr>
          <w:rFonts w:ascii="Arial" w:hAnsi="Arial" w:cs="Arial"/>
          <w:sz w:val="24"/>
          <w:szCs w:val="24"/>
          <w:u w:val="single"/>
        </w:rPr>
        <w:t>, Sections 1374.72 and 1374.76 of the Health and Safety Code, and Rules 1300.74.72, 1300.74.72.01, and 1300.74.721 of this title.</w:t>
      </w:r>
    </w:p>
  </w:footnote>
  <w:footnote w:id="5">
    <w:p w14:paraId="3C18BCAE" w14:textId="2BD15F51" w:rsidR="00CE1C99" w:rsidRPr="003E60DC" w:rsidRDefault="00CE1C99" w:rsidP="00E60932">
      <w:pPr>
        <w:pStyle w:val="FootnoteText"/>
        <w:rPr>
          <w:rFonts w:ascii="Arial" w:hAnsi="Arial" w:cs="Arial"/>
          <w:sz w:val="24"/>
          <w:szCs w:val="24"/>
        </w:rPr>
      </w:pPr>
      <w:r w:rsidRPr="0034549E">
        <w:rPr>
          <w:rStyle w:val="FootnoteReference"/>
          <w:rFonts w:ascii="Arial" w:hAnsi="Arial" w:cs="Arial"/>
          <w:sz w:val="24"/>
          <w:szCs w:val="24"/>
          <w:u w:val="single"/>
        </w:rPr>
        <w:footnoteRef/>
      </w:r>
      <w:r w:rsidRPr="0034549E">
        <w:rPr>
          <w:rFonts w:ascii="Arial" w:hAnsi="Arial" w:cs="Arial"/>
          <w:sz w:val="24"/>
          <w:szCs w:val="24"/>
          <w:u w:val="single"/>
        </w:rPr>
        <w:t xml:space="preserve"> </w:t>
      </w:r>
      <w:r w:rsidRPr="0034549E">
        <w:rPr>
          <w:rFonts w:ascii="Arial" w:hAnsi="Arial" w:cs="Arial"/>
          <w:i/>
          <w:iCs/>
          <w:sz w:val="24"/>
          <w:szCs w:val="24"/>
          <w:u w:val="single"/>
        </w:rPr>
        <w:t xml:space="preserve">See </w:t>
      </w:r>
      <w:r w:rsidRPr="0034549E">
        <w:rPr>
          <w:rFonts w:ascii="Arial" w:hAnsi="Arial" w:cs="Arial"/>
          <w:sz w:val="24"/>
          <w:szCs w:val="24"/>
          <w:u w:val="single"/>
        </w:rPr>
        <w:t>Rule 1300.67.2.2(i)(5).</w:t>
      </w:r>
    </w:p>
  </w:footnote>
  <w:footnote w:id="6">
    <w:p w14:paraId="20C56CB9" w14:textId="77777777" w:rsidR="00DA5C12" w:rsidRPr="00EA55A6" w:rsidRDefault="00DA5C12" w:rsidP="00DA5C12">
      <w:pPr>
        <w:pStyle w:val="FootnoteText"/>
        <w:rPr>
          <w:rFonts w:ascii="Arial" w:hAnsi="Arial" w:cs="Arial"/>
          <w:sz w:val="24"/>
          <w:szCs w:val="24"/>
          <w:u w:val="single"/>
        </w:rPr>
      </w:pPr>
      <w:r w:rsidRPr="00EA55A6">
        <w:rPr>
          <w:rStyle w:val="FootnoteReference"/>
          <w:rFonts w:ascii="Arial" w:hAnsi="Arial" w:cs="Arial"/>
          <w:sz w:val="24"/>
          <w:szCs w:val="24"/>
          <w:u w:val="single"/>
        </w:rPr>
        <w:footnoteRef/>
      </w:r>
      <w:r w:rsidRPr="00EA55A6">
        <w:rPr>
          <w:rFonts w:ascii="Arial" w:hAnsi="Arial" w:cs="Arial"/>
          <w:sz w:val="24"/>
          <w:szCs w:val="24"/>
          <w:u w:val="single"/>
        </w:rPr>
        <w:t xml:space="preserve"> Defined terms pertain to the DMHC’s review under the identified standard, and do not abrogate a Plan’s requirements for maintaining a provider directory, or other reporting requirements under the law.</w:t>
      </w:r>
    </w:p>
  </w:footnote>
  <w:footnote w:id="7">
    <w:p w14:paraId="53F03D6F" w14:textId="642E7E67" w:rsidR="005A465F" w:rsidRDefault="005A465F" w:rsidP="005A465F">
      <w:pPr>
        <w:pStyle w:val="FootnoteText"/>
      </w:pPr>
      <w:r w:rsidRPr="00D516A5">
        <w:rPr>
          <w:rStyle w:val="FootnoteReference"/>
          <w:rFonts w:ascii="Arial" w:hAnsi="Arial" w:cs="Arial"/>
          <w:sz w:val="24"/>
          <w:szCs w:val="24"/>
          <w:u w:val="single"/>
        </w:rPr>
        <w:footnoteRef/>
      </w:r>
      <w:r w:rsidRPr="00D516A5">
        <w:rPr>
          <w:rFonts w:ascii="Arial" w:hAnsi="Arial" w:cs="Arial"/>
          <w:sz w:val="24"/>
          <w:szCs w:val="24"/>
          <w:u w:val="single"/>
        </w:rPr>
        <w:t xml:space="preserve"> </w:t>
      </w:r>
      <w:r w:rsidRPr="00885692">
        <w:rPr>
          <w:rFonts w:ascii="Arial" w:hAnsi="Arial" w:cs="Arial"/>
          <w:sz w:val="24"/>
          <w:szCs w:val="24"/>
          <w:u w:val="single"/>
        </w:rPr>
        <w:t>For example, the California Board of Podiatric Medicine.</w:t>
      </w:r>
      <w:r w:rsidR="00F62222" w:rsidRPr="00885692">
        <w:rPr>
          <w:rFonts w:ascii="Arial" w:hAnsi="Arial" w:cs="Arial"/>
          <w:sz w:val="24"/>
          <w:szCs w:val="24"/>
          <w:u w:val="single"/>
        </w:rPr>
        <w:t xml:space="preserve"> </w:t>
      </w:r>
      <w:r w:rsidRPr="00885692">
        <w:rPr>
          <w:rStyle w:val="xnormaltextrun"/>
          <w:rFonts w:ascii="Arial" w:hAnsi="Arial" w:cs="Arial"/>
          <w:sz w:val="24"/>
          <w:szCs w:val="24"/>
          <w:u w:val="single"/>
          <w:shd w:val="clear" w:color="auto" w:fill="FFFFFF"/>
        </w:rPr>
        <w:t>See Rule 1300.67.2.2(h)(8)(D)(iii) and The Annual Network Submission Instruction Manual, Appendix B.</w:t>
      </w:r>
    </w:p>
  </w:footnote>
  <w:footnote w:id="8">
    <w:p w14:paraId="3D1C9A14" w14:textId="66B4121A" w:rsidR="007B6DB8" w:rsidRPr="00B04663" w:rsidRDefault="007B6DB8" w:rsidP="007B6DB8">
      <w:pPr>
        <w:pStyle w:val="FootnoteText"/>
        <w:rPr>
          <w:sz w:val="24"/>
          <w:szCs w:val="24"/>
          <w:u w:val="single"/>
        </w:rPr>
      </w:pPr>
      <w:r w:rsidRPr="00D516A5">
        <w:rPr>
          <w:rStyle w:val="FootnoteReference"/>
          <w:rFonts w:ascii="Arial" w:hAnsi="Arial" w:cs="Arial"/>
          <w:sz w:val="24"/>
          <w:szCs w:val="24"/>
        </w:rPr>
        <w:footnoteRef/>
      </w:r>
      <w:r w:rsidRPr="00D516A5">
        <w:rPr>
          <w:rFonts w:ascii="Arial" w:hAnsi="Arial" w:cs="Arial"/>
          <w:sz w:val="24"/>
          <w:szCs w:val="24"/>
        </w:rPr>
        <w:t xml:space="preserve"> </w:t>
      </w:r>
      <w:r w:rsidRPr="00CB5BE5">
        <w:rPr>
          <w:rFonts w:ascii="Arial" w:hAnsi="Arial" w:cs="Arial"/>
          <w:sz w:val="24"/>
          <w:szCs w:val="24"/>
          <w:u w:val="single"/>
        </w:rPr>
        <w:t xml:space="preserve">For the purposes of the Specialist Physician Ratio Standards and Methodology, </w:t>
      </w:r>
      <w:r w:rsidR="00A745C2" w:rsidRPr="00CB5BE5">
        <w:rPr>
          <w:rFonts w:ascii="Arial" w:hAnsi="Arial" w:cs="Arial"/>
          <w:sz w:val="24"/>
          <w:szCs w:val="24"/>
          <w:u w:val="single"/>
        </w:rPr>
        <w:t xml:space="preserve">adjacent out-of-state border counties </w:t>
      </w:r>
      <w:r w:rsidR="00E2572E">
        <w:rPr>
          <w:rFonts w:ascii="Arial" w:hAnsi="Arial" w:cs="Arial"/>
          <w:sz w:val="24"/>
          <w:szCs w:val="24"/>
          <w:u w:val="single"/>
        </w:rPr>
        <w:t xml:space="preserve">may be </w:t>
      </w:r>
      <w:r w:rsidR="00F42FB6">
        <w:rPr>
          <w:rFonts w:ascii="Arial" w:hAnsi="Arial" w:cs="Arial"/>
          <w:sz w:val="24"/>
          <w:szCs w:val="24"/>
          <w:u w:val="single"/>
        </w:rPr>
        <w:t>eligible to be combined</w:t>
      </w:r>
      <w:r w:rsidR="005803DF" w:rsidRPr="00CB5BE5">
        <w:rPr>
          <w:rFonts w:ascii="Arial" w:hAnsi="Arial" w:cs="Arial"/>
          <w:sz w:val="24"/>
          <w:szCs w:val="24"/>
          <w:u w:val="single"/>
        </w:rPr>
        <w:t>.</w:t>
      </w:r>
      <w:r w:rsidR="00A745C2" w:rsidRPr="00CB5BE5">
        <w:rPr>
          <w:rFonts w:ascii="Arial" w:hAnsi="Arial" w:cs="Arial"/>
          <w:sz w:val="24"/>
          <w:szCs w:val="24"/>
          <w:u w:val="single"/>
        </w:rPr>
        <w:t xml:space="preserve"> </w:t>
      </w:r>
      <w:r w:rsidR="00E5180C" w:rsidRPr="003E42E3">
        <w:rPr>
          <w:rFonts w:ascii="Arial" w:hAnsi="Arial" w:cs="Arial"/>
          <w:sz w:val="24"/>
          <w:szCs w:val="24"/>
          <w:u w:val="single"/>
        </w:rPr>
        <w:t xml:space="preserve">Certain </w:t>
      </w:r>
      <w:r w:rsidR="000A2D7A" w:rsidRPr="003E42E3">
        <w:rPr>
          <w:rFonts w:ascii="Arial" w:hAnsi="Arial" w:cs="Arial"/>
          <w:sz w:val="24"/>
          <w:szCs w:val="24"/>
          <w:u w:val="single"/>
        </w:rPr>
        <w:t>non-</w:t>
      </w:r>
      <w:r w:rsidR="00E5180C" w:rsidRPr="003E42E3">
        <w:rPr>
          <w:rFonts w:ascii="Arial" w:hAnsi="Arial" w:cs="Arial"/>
          <w:sz w:val="24"/>
          <w:szCs w:val="24"/>
          <w:u w:val="single"/>
        </w:rPr>
        <w:t>adjacent counties</w:t>
      </w:r>
      <w:r w:rsidR="0076052B" w:rsidRPr="003E42E3">
        <w:rPr>
          <w:rFonts w:ascii="Arial" w:hAnsi="Arial" w:cs="Arial"/>
          <w:sz w:val="24"/>
          <w:szCs w:val="24"/>
          <w:u w:val="single"/>
        </w:rPr>
        <w:t xml:space="preserve"> are </w:t>
      </w:r>
      <w:r w:rsidR="007837B8" w:rsidRPr="003E42E3">
        <w:rPr>
          <w:rFonts w:ascii="Arial" w:hAnsi="Arial" w:cs="Arial"/>
          <w:sz w:val="24"/>
          <w:szCs w:val="24"/>
          <w:u w:val="single"/>
        </w:rPr>
        <w:t xml:space="preserve">treated as an adjacent county to a </w:t>
      </w:r>
      <w:r w:rsidR="00BA6B78" w:rsidRPr="003E42E3">
        <w:rPr>
          <w:rFonts w:ascii="Arial" w:hAnsi="Arial" w:cs="Arial"/>
          <w:sz w:val="24"/>
          <w:szCs w:val="24"/>
          <w:u w:val="single"/>
        </w:rPr>
        <w:t>deficient count</w:t>
      </w:r>
      <w:r w:rsidR="007837B8" w:rsidRPr="003E42E3">
        <w:rPr>
          <w:rFonts w:ascii="Arial" w:hAnsi="Arial" w:cs="Arial"/>
          <w:sz w:val="24"/>
          <w:szCs w:val="24"/>
          <w:u w:val="single"/>
        </w:rPr>
        <w:t>y</w:t>
      </w:r>
      <w:r w:rsidR="00E5180C" w:rsidRPr="003E42E3">
        <w:rPr>
          <w:rFonts w:ascii="Arial" w:hAnsi="Arial" w:cs="Arial"/>
          <w:sz w:val="24"/>
          <w:szCs w:val="24"/>
          <w:u w:val="single"/>
        </w:rPr>
        <w:t xml:space="preserve">, </w:t>
      </w:r>
      <w:r w:rsidR="00726461" w:rsidRPr="003E42E3">
        <w:rPr>
          <w:rFonts w:ascii="Arial" w:hAnsi="Arial" w:cs="Arial"/>
          <w:sz w:val="24"/>
          <w:szCs w:val="24"/>
          <w:u w:val="single"/>
        </w:rPr>
        <w:t xml:space="preserve">as described in </w:t>
      </w:r>
      <w:r w:rsidR="000B70E4" w:rsidRPr="003E42E3">
        <w:rPr>
          <w:rFonts w:ascii="Arial" w:hAnsi="Arial" w:cs="Arial"/>
          <w:b/>
          <w:sz w:val="24"/>
          <w:szCs w:val="24"/>
          <w:u w:val="single"/>
        </w:rPr>
        <w:t>Schedule D-</w:t>
      </w:r>
      <w:r w:rsidR="00FC6B4B" w:rsidRPr="003E42E3">
        <w:rPr>
          <w:rFonts w:ascii="Arial" w:hAnsi="Arial" w:cs="Arial"/>
          <w:b/>
          <w:sz w:val="24"/>
          <w:szCs w:val="24"/>
          <w:u w:val="single"/>
        </w:rPr>
        <w:t>4</w:t>
      </w:r>
      <w:r w:rsidR="00726461" w:rsidRPr="003E42E3">
        <w:rPr>
          <w:rFonts w:ascii="Arial" w:hAnsi="Arial" w:cs="Arial"/>
          <w:sz w:val="24"/>
          <w:szCs w:val="24"/>
          <w:u w:val="single"/>
        </w:rPr>
        <w:t xml:space="preserve"> and the </w:t>
      </w:r>
      <w:r w:rsidR="00BD6337">
        <w:rPr>
          <w:rFonts w:ascii="Arial" w:hAnsi="Arial" w:cs="Arial"/>
          <w:sz w:val="24"/>
          <w:szCs w:val="24"/>
          <w:u w:val="single"/>
        </w:rPr>
        <w:t xml:space="preserve">document entitled </w:t>
      </w:r>
      <w:r w:rsidR="00BD6337" w:rsidRPr="00B04663">
        <w:rPr>
          <w:rFonts w:ascii="Arial" w:hAnsi="Arial" w:cs="Arial"/>
          <w:sz w:val="24"/>
          <w:szCs w:val="24"/>
          <w:u w:val="single"/>
        </w:rPr>
        <w:t>“</w:t>
      </w:r>
      <w:r w:rsidR="00BD6337" w:rsidRPr="009F6AD0">
        <w:rPr>
          <w:rFonts w:ascii="Arial" w:hAnsi="Arial" w:cs="Arial"/>
          <w:b/>
          <w:bCs/>
          <w:sz w:val="24"/>
          <w:szCs w:val="24"/>
          <w:u w:val="single"/>
        </w:rPr>
        <w:t>Adjacent Counties and Exceptions for RY 2025 Standards and Methodology”</w:t>
      </w:r>
      <w:r w:rsidR="00BD6337" w:rsidRPr="003E42E3">
        <w:rPr>
          <w:rFonts w:ascii="Arial" w:hAnsi="Arial" w:cs="Arial"/>
          <w:sz w:val="24"/>
          <w:szCs w:val="24"/>
          <w:u w:val="single"/>
        </w:rPr>
        <w:t xml:space="preserve"> </w:t>
      </w:r>
      <w:r w:rsidR="00726461" w:rsidRPr="003E42E3">
        <w:rPr>
          <w:rFonts w:ascii="Arial" w:eastAsia="Times New Roman" w:hAnsi="Arial" w:cs="Arial"/>
          <w:sz w:val="24"/>
          <w:szCs w:val="24"/>
          <w:u w:val="single"/>
        </w:rPr>
        <w:t>attached to this document</w:t>
      </w:r>
      <w:r w:rsidR="00FC6B4B" w:rsidRPr="003E42E3">
        <w:rPr>
          <w:rFonts w:ascii="Arial" w:hAnsi="Arial" w:cs="Arial"/>
          <w:sz w:val="24"/>
          <w:szCs w:val="24"/>
          <w:u w:val="single"/>
        </w:rPr>
        <w:t>.</w:t>
      </w:r>
    </w:p>
  </w:footnote>
  <w:footnote w:id="9">
    <w:p w14:paraId="73778F33" w14:textId="28CBDEEE" w:rsidR="005803DF" w:rsidRDefault="005803DF">
      <w:pPr>
        <w:pStyle w:val="FootnoteText"/>
      </w:pPr>
      <w:r w:rsidRPr="00D516A5">
        <w:rPr>
          <w:rStyle w:val="FootnoteReference"/>
          <w:rFonts w:ascii="Arial" w:hAnsi="Arial" w:cs="Arial"/>
          <w:sz w:val="24"/>
          <w:szCs w:val="24"/>
          <w:u w:val="single"/>
        </w:rPr>
        <w:footnoteRef/>
      </w:r>
      <w:r w:rsidRPr="00B04663">
        <w:rPr>
          <w:sz w:val="24"/>
          <w:szCs w:val="24"/>
          <w:u w:val="single"/>
        </w:rPr>
        <w:t xml:space="preserve"> </w:t>
      </w:r>
      <w:r w:rsidRPr="00CB5BE5">
        <w:rPr>
          <w:rFonts w:ascii="Arial" w:hAnsi="Arial" w:cs="Arial"/>
          <w:sz w:val="24"/>
          <w:szCs w:val="24"/>
          <w:u w:val="single"/>
        </w:rPr>
        <w:t>See footnote 9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3F74" w14:textId="421ABF25" w:rsidR="007214D9" w:rsidRPr="00A07966" w:rsidRDefault="00113B43" w:rsidP="003D6B64">
    <w:pPr>
      <w:pStyle w:val="Header"/>
      <w:jc w:val="center"/>
      <w:rPr>
        <w:rFonts w:ascii="Arial" w:hAnsi="Arial" w:cs="Arial"/>
        <w:color w:val="1C4F9D"/>
        <w:spacing w:val="-2"/>
        <w:sz w:val="24"/>
        <w:szCs w:val="24"/>
        <w:u w:val="single"/>
      </w:rPr>
    </w:pPr>
    <w:r w:rsidRPr="00A07966">
      <w:rPr>
        <w:rFonts w:ascii="Arial" w:hAnsi="Arial" w:cs="Arial"/>
        <w:color w:val="1C4F9D"/>
        <w:spacing w:val="-2"/>
        <w:sz w:val="24"/>
        <w:szCs w:val="24"/>
        <w:u w:val="single"/>
      </w:rPr>
      <w:t>Specialist Physician</w:t>
    </w:r>
    <w:r w:rsidR="00E715CB" w:rsidRPr="00A07966">
      <w:rPr>
        <w:rFonts w:ascii="Arial" w:hAnsi="Arial" w:cs="Arial"/>
        <w:color w:val="1C4F9D"/>
        <w:spacing w:val="-2"/>
        <w:sz w:val="24"/>
        <w:szCs w:val="24"/>
        <w:u w:val="single"/>
      </w:rPr>
      <w:t xml:space="preserve"> </w:t>
    </w:r>
    <w:r w:rsidR="00840898" w:rsidRPr="00A07966">
      <w:rPr>
        <w:rFonts w:ascii="Arial" w:hAnsi="Arial" w:cs="Arial"/>
        <w:color w:val="1C4F9D"/>
        <w:spacing w:val="-2"/>
        <w:sz w:val="24"/>
        <w:szCs w:val="24"/>
        <w:u w:val="single"/>
      </w:rPr>
      <w:t xml:space="preserve">Ratio </w:t>
    </w:r>
    <w:r w:rsidR="00E715CB" w:rsidRPr="00A07966">
      <w:rPr>
        <w:rFonts w:ascii="Arial" w:hAnsi="Arial" w:cs="Arial"/>
        <w:color w:val="1C4F9D"/>
        <w:spacing w:val="-2"/>
        <w:sz w:val="24"/>
        <w:szCs w:val="24"/>
        <w:u w:val="single"/>
      </w:rPr>
      <w:t>Standards and Methodology</w:t>
    </w:r>
  </w:p>
  <w:p w14:paraId="5839C050" w14:textId="409B839B" w:rsidR="007B39E8" w:rsidRPr="00A07966" w:rsidRDefault="00037DE3" w:rsidP="00A43D69">
    <w:pPr>
      <w:pStyle w:val="Header"/>
      <w:spacing w:after="240"/>
      <w:jc w:val="center"/>
      <w:rPr>
        <w:rFonts w:ascii="Arial" w:hAnsi="Arial" w:cs="Arial"/>
        <w:color w:val="1C4F9D"/>
        <w:spacing w:val="-2"/>
        <w:kern w:val="2"/>
        <w:sz w:val="24"/>
        <w:szCs w:val="24"/>
        <w:u w:val="single"/>
        <w14:ligatures w14:val="standardContextual"/>
      </w:rPr>
    </w:pPr>
    <w:r w:rsidRPr="00A07966">
      <w:rPr>
        <w:rFonts w:ascii="Arial" w:hAnsi="Arial" w:cs="Arial"/>
        <w:color w:val="1C4F9D"/>
        <w:spacing w:val="-2"/>
        <w:kern w:val="2"/>
        <w:sz w:val="24"/>
        <w:szCs w:val="24"/>
        <w:u w:val="single"/>
        <w14:ligatures w14:val="standardContextual"/>
      </w:rPr>
      <w:t xml:space="preserve">Issue </w:t>
    </w:r>
    <w:r w:rsidR="00BE310C" w:rsidRPr="00A07966">
      <w:rPr>
        <w:rFonts w:ascii="Arial" w:hAnsi="Arial" w:cs="Arial"/>
        <w:color w:val="1C4F9D"/>
        <w:spacing w:val="-2"/>
        <w:kern w:val="2"/>
        <w:sz w:val="24"/>
        <w:szCs w:val="24"/>
        <w:u w:val="single"/>
        <w14:ligatures w14:val="standardContextual"/>
      </w:rPr>
      <w:t xml:space="preserve">Date: </w:t>
    </w:r>
    <w:r w:rsidRPr="00A07966">
      <w:rPr>
        <w:rFonts w:ascii="Arial" w:hAnsi="Arial" w:cs="Arial"/>
        <w:color w:val="1C4F9D"/>
        <w:spacing w:val="-2"/>
        <w:kern w:val="2"/>
        <w:sz w:val="24"/>
        <w:szCs w:val="24"/>
        <w:u w:val="single"/>
        <w14:ligatures w14:val="standardContextual"/>
      </w:rPr>
      <w:t>December 12</w:t>
    </w:r>
    <w:r w:rsidR="0044592F" w:rsidRPr="00A07966">
      <w:rPr>
        <w:rFonts w:ascii="Arial" w:hAnsi="Arial" w:cs="Arial"/>
        <w:color w:val="1C4F9D"/>
        <w:spacing w:val="-2"/>
        <w:kern w:val="2"/>
        <w:sz w:val="24"/>
        <w:szCs w:val="24"/>
        <w:u w:val="single"/>
        <w14:ligatures w14:val="standardContextual"/>
      </w:rPr>
      <w:t>,</w:t>
    </w:r>
    <w:r w:rsidR="00EA71E5" w:rsidRPr="00A07966">
      <w:rPr>
        <w:rFonts w:ascii="Arial" w:hAnsi="Arial" w:cs="Arial"/>
        <w:color w:val="1C4F9D"/>
        <w:spacing w:val="-2"/>
        <w:kern w:val="2"/>
        <w:sz w:val="24"/>
        <w:szCs w:val="24"/>
        <w:u w:val="single"/>
        <w14:ligatures w14:val="standardContextual"/>
      </w:rPr>
      <w:t xml:space="preserve"> 202</w:t>
    </w:r>
    <w:r w:rsidR="00B63697" w:rsidRPr="00A07966">
      <w:rPr>
        <w:rFonts w:ascii="Arial" w:hAnsi="Arial" w:cs="Arial"/>
        <w:color w:val="1C4F9D"/>
        <w:spacing w:val="-2"/>
        <w:kern w:val="2"/>
        <w:sz w:val="24"/>
        <w:szCs w:val="24"/>
        <w:u w:val="single"/>
        <w14:ligatures w14:val="standardContextu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E41"/>
    <w:multiLevelType w:val="hybridMultilevel"/>
    <w:tmpl w:val="CC101BA4"/>
    <w:lvl w:ilvl="0" w:tplc="C788544E">
      <w:start w:val="1"/>
      <w:numFmt w:val="decimal"/>
      <w:lvlText w:val="%1."/>
      <w:lvlJc w:val="left"/>
      <w:pPr>
        <w:ind w:left="2880" w:hanging="360"/>
      </w:pPr>
      <w:rPr>
        <w:rFonts w:hint="default"/>
        <w:u w:val="single"/>
      </w:rPr>
    </w:lvl>
    <w:lvl w:ilvl="1" w:tplc="04090019">
      <w:start w:val="1"/>
      <w:numFmt w:val="lowerLetter"/>
      <w:lvlText w:val="%2."/>
      <w:lvlJc w:val="left"/>
      <w:pPr>
        <w:ind w:left="1440" w:hanging="360"/>
      </w:pPr>
    </w:lvl>
    <w:lvl w:ilvl="2" w:tplc="DCB81E96">
      <w:start w:val="1"/>
      <w:numFmt w:val="lowerRoman"/>
      <w:lvlText w:val="%3."/>
      <w:lvlJc w:val="right"/>
      <w:pPr>
        <w:ind w:left="2160" w:hanging="180"/>
      </w:pPr>
      <w:rPr>
        <w:u w:val="singl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4EA3"/>
    <w:multiLevelType w:val="hybridMultilevel"/>
    <w:tmpl w:val="F9E0A472"/>
    <w:lvl w:ilvl="0" w:tplc="3BD6D414">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 w15:restartNumberingAfterBreak="0">
    <w:nsid w:val="0A173352"/>
    <w:multiLevelType w:val="hybridMultilevel"/>
    <w:tmpl w:val="F744A498"/>
    <w:lvl w:ilvl="0" w:tplc="F89E670A">
      <w:start w:val="1"/>
      <w:numFmt w:val="lowerRoman"/>
      <w:lvlText w:val="%1."/>
      <w:lvlJc w:val="right"/>
      <w:pPr>
        <w:ind w:left="1020" w:hanging="360"/>
      </w:pPr>
    </w:lvl>
    <w:lvl w:ilvl="1" w:tplc="4D82C972">
      <w:start w:val="1"/>
      <w:numFmt w:val="lowerRoman"/>
      <w:lvlText w:val="%2."/>
      <w:lvlJc w:val="right"/>
      <w:pPr>
        <w:ind w:left="1020" w:hanging="360"/>
      </w:pPr>
    </w:lvl>
    <w:lvl w:ilvl="2" w:tplc="AF26EBA4">
      <w:start w:val="1"/>
      <w:numFmt w:val="lowerRoman"/>
      <w:lvlText w:val="%3."/>
      <w:lvlJc w:val="right"/>
      <w:pPr>
        <w:ind w:left="1020" w:hanging="360"/>
      </w:pPr>
    </w:lvl>
    <w:lvl w:ilvl="3" w:tplc="B6406D0E">
      <w:start w:val="1"/>
      <w:numFmt w:val="lowerRoman"/>
      <w:lvlText w:val="%4."/>
      <w:lvlJc w:val="right"/>
      <w:pPr>
        <w:ind w:left="1020" w:hanging="360"/>
      </w:pPr>
    </w:lvl>
    <w:lvl w:ilvl="4" w:tplc="0980EDD0">
      <w:start w:val="1"/>
      <w:numFmt w:val="lowerRoman"/>
      <w:lvlText w:val="%5."/>
      <w:lvlJc w:val="right"/>
      <w:pPr>
        <w:ind w:left="1020" w:hanging="360"/>
      </w:pPr>
    </w:lvl>
    <w:lvl w:ilvl="5" w:tplc="CBEEE244">
      <w:start w:val="1"/>
      <w:numFmt w:val="lowerRoman"/>
      <w:lvlText w:val="%6."/>
      <w:lvlJc w:val="right"/>
      <w:pPr>
        <w:ind w:left="1020" w:hanging="360"/>
      </w:pPr>
    </w:lvl>
    <w:lvl w:ilvl="6" w:tplc="01FED5E6">
      <w:start w:val="1"/>
      <w:numFmt w:val="lowerRoman"/>
      <w:lvlText w:val="%7."/>
      <w:lvlJc w:val="right"/>
      <w:pPr>
        <w:ind w:left="1020" w:hanging="360"/>
      </w:pPr>
    </w:lvl>
    <w:lvl w:ilvl="7" w:tplc="850C9B68">
      <w:start w:val="1"/>
      <w:numFmt w:val="lowerRoman"/>
      <w:lvlText w:val="%8."/>
      <w:lvlJc w:val="right"/>
      <w:pPr>
        <w:ind w:left="1020" w:hanging="360"/>
      </w:pPr>
    </w:lvl>
    <w:lvl w:ilvl="8" w:tplc="6256F1D4">
      <w:start w:val="1"/>
      <w:numFmt w:val="lowerRoman"/>
      <w:lvlText w:val="%9."/>
      <w:lvlJc w:val="right"/>
      <w:pPr>
        <w:ind w:left="1020" w:hanging="360"/>
      </w:pPr>
    </w:lvl>
  </w:abstractNum>
  <w:abstractNum w:abstractNumId="3" w15:restartNumberingAfterBreak="0">
    <w:nsid w:val="0B1312ED"/>
    <w:multiLevelType w:val="hybridMultilevel"/>
    <w:tmpl w:val="1DB4D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A7FEF"/>
    <w:multiLevelType w:val="hybridMultilevel"/>
    <w:tmpl w:val="B4A80CE8"/>
    <w:lvl w:ilvl="0" w:tplc="FFFFFFFF">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5" w15:restartNumberingAfterBreak="0">
    <w:nsid w:val="0C6F430D"/>
    <w:multiLevelType w:val="hybridMultilevel"/>
    <w:tmpl w:val="8604D866"/>
    <w:lvl w:ilvl="0" w:tplc="544C624C">
      <w:start w:val="1"/>
      <w:numFmt w:val="lowerLetter"/>
      <w:lvlText w:val="%1."/>
      <w:lvlJc w:val="left"/>
      <w:pPr>
        <w:ind w:left="1440" w:hanging="360"/>
      </w:pPr>
      <w:rPr>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DC6270F"/>
    <w:multiLevelType w:val="hybridMultilevel"/>
    <w:tmpl w:val="3510067A"/>
    <w:lvl w:ilvl="0" w:tplc="D30033BC">
      <w:start w:val="1"/>
      <w:numFmt w:val="lowerLetter"/>
      <w:lvlText w:val="%1."/>
      <w:lvlJc w:val="left"/>
      <w:pPr>
        <w:ind w:left="1440" w:hanging="360"/>
      </w:pPr>
      <w:rPr>
        <w:rFonts w:hint="default"/>
      </w:rPr>
    </w:lvl>
    <w:lvl w:ilvl="1" w:tplc="44DE5CD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DB526FC2">
      <w:start w:val="1"/>
      <w:numFmt w:val="decimal"/>
      <w:lvlText w:val="%4."/>
      <w:lvlJc w:val="left"/>
      <w:pPr>
        <w:ind w:left="2880" w:hanging="360"/>
      </w:pPr>
      <w:rPr>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15FBF"/>
    <w:multiLevelType w:val="hybridMultilevel"/>
    <w:tmpl w:val="95C08552"/>
    <w:lvl w:ilvl="0" w:tplc="1B887D78">
      <w:start w:val="1"/>
      <w:numFmt w:val="decimal"/>
      <w:lvlText w:val="%1."/>
      <w:lvlJc w:val="left"/>
      <w:pPr>
        <w:ind w:left="2880" w:hanging="360"/>
      </w:pPr>
      <w:rPr>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0007171"/>
    <w:multiLevelType w:val="hybridMultilevel"/>
    <w:tmpl w:val="530ECB9C"/>
    <w:lvl w:ilvl="0" w:tplc="A044D5C2">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9" w15:restartNumberingAfterBreak="0">
    <w:nsid w:val="181763B7"/>
    <w:multiLevelType w:val="hybridMultilevel"/>
    <w:tmpl w:val="69C2C754"/>
    <w:lvl w:ilvl="0" w:tplc="868C0F8A">
      <w:start w:val="1"/>
      <w:numFmt w:val="lowerRoman"/>
      <w:lvlText w:val="%1."/>
      <w:lvlJc w:val="right"/>
      <w:pPr>
        <w:ind w:left="1020" w:hanging="360"/>
      </w:pPr>
    </w:lvl>
    <w:lvl w:ilvl="1" w:tplc="7CA2D82A">
      <w:start w:val="1"/>
      <w:numFmt w:val="lowerRoman"/>
      <w:lvlText w:val="%2."/>
      <w:lvlJc w:val="right"/>
      <w:pPr>
        <w:ind w:left="1020" w:hanging="360"/>
      </w:pPr>
    </w:lvl>
    <w:lvl w:ilvl="2" w:tplc="755A9064">
      <w:start w:val="1"/>
      <w:numFmt w:val="lowerRoman"/>
      <w:lvlText w:val="%3."/>
      <w:lvlJc w:val="right"/>
      <w:pPr>
        <w:ind w:left="1020" w:hanging="360"/>
      </w:pPr>
    </w:lvl>
    <w:lvl w:ilvl="3" w:tplc="D95C2D92">
      <w:start w:val="1"/>
      <w:numFmt w:val="lowerRoman"/>
      <w:lvlText w:val="%4."/>
      <w:lvlJc w:val="right"/>
      <w:pPr>
        <w:ind w:left="1020" w:hanging="360"/>
      </w:pPr>
    </w:lvl>
    <w:lvl w:ilvl="4" w:tplc="C35A0448">
      <w:start w:val="1"/>
      <w:numFmt w:val="lowerRoman"/>
      <w:lvlText w:val="%5."/>
      <w:lvlJc w:val="right"/>
      <w:pPr>
        <w:ind w:left="1020" w:hanging="360"/>
      </w:pPr>
    </w:lvl>
    <w:lvl w:ilvl="5" w:tplc="9D044536">
      <w:start w:val="1"/>
      <w:numFmt w:val="lowerRoman"/>
      <w:lvlText w:val="%6."/>
      <w:lvlJc w:val="right"/>
      <w:pPr>
        <w:ind w:left="1020" w:hanging="360"/>
      </w:pPr>
    </w:lvl>
    <w:lvl w:ilvl="6" w:tplc="90A80490">
      <w:start w:val="1"/>
      <w:numFmt w:val="lowerRoman"/>
      <w:lvlText w:val="%7."/>
      <w:lvlJc w:val="right"/>
      <w:pPr>
        <w:ind w:left="1020" w:hanging="360"/>
      </w:pPr>
    </w:lvl>
    <w:lvl w:ilvl="7" w:tplc="6BFADB9A">
      <w:start w:val="1"/>
      <w:numFmt w:val="lowerRoman"/>
      <w:lvlText w:val="%8."/>
      <w:lvlJc w:val="right"/>
      <w:pPr>
        <w:ind w:left="1020" w:hanging="360"/>
      </w:pPr>
    </w:lvl>
    <w:lvl w:ilvl="8" w:tplc="21368FFE">
      <w:start w:val="1"/>
      <w:numFmt w:val="lowerRoman"/>
      <w:lvlText w:val="%9."/>
      <w:lvlJc w:val="right"/>
      <w:pPr>
        <w:ind w:left="1020" w:hanging="360"/>
      </w:pPr>
    </w:lvl>
  </w:abstractNum>
  <w:abstractNum w:abstractNumId="10" w15:restartNumberingAfterBreak="0">
    <w:nsid w:val="1A8E5F3A"/>
    <w:multiLevelType w:val="hybridMultilevel"/>
    <w:tmpl w:val="8D5C691C"/>
    <w:lvl w:ilvl="0" w:tplc="F064C5A2">
      <w:start w:val="1"/>
      <w:numFmt w:val="low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C411242"/>
    <w:multiLevelType w:val="hybridMultilevel"/>
    <w:tmpl w:val="B4A80CE8"/>
    <w:lvl w:ilvl="0" w:tplc="FFFFFFFF">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12" w15:restartNumberingAfterBreak="0">
    <w:nsid w:val="1DA02DB3"/>
    <w:multiLevelType w:val="hybridMultilevel"/>
    <w:tmpl w:val="F3105E9E"/>
    <w:lvl w:ilvl="0" w:tplc="263C363C">
      <w:start w:val="1"/>
      <w:numFmt w:val="lowerRoman"/>
      <w:lvlText w:val="%1."/>
      <w:lvlJc w:val="right"/>
      <w:pPr>
        <w:ind w:left="1020" w:hanging="360"/>
      </w:pPr>
    </w:lvl>
    <w:lvl w:ilvl="1" w:tplc="E322316E">
      <w:start w:val="1"/>
      <w:numFmt w:val="lowerRoman"/>
      <w:lvlText w:val="%2."/>
      <w:lvlJc w:val="right"/>
      <w:pPr>
        <w:ind w:left="1020" w:hanging="360"/>
      </w:pPr>
    </w:lvl>
    <w:lvl w:ilvl="2" w:tplc="9CD65A64">
      <w:start w:val="1"/>
      <w:numFmt w:val="lowerRoman"/>
      <w:lvlText w:val="%3."/>
      <w:lvlJc w:val="right"/>
      <w:pPr>
        <w:ind w:left="1020" w:hanging="360"/>
      </w:pPr>
    </w:lvl>
    <w:lvl w:ilvl="3" w:tplc="340C0F4C">
      <w:start w:val="1"/>
      <w:numFmt w:val="lowerRoman"/>
      <w:lvlText w:val="%4."/>
      <w:lvlJc w:val="right"/>
      <w:pPr>
        <w:ind w:left="1020" w:hanging="360"/>
      </w:pPr>
    </w:lvl>
    <w:lvl w:ilvl="4" w:tplc="25B84548">
      <w:start w:val="1"/>
      <w:numFmt w:val="lowerRoman"/>
      <w:lvlText w:val="%5."/>
      <w:lvlJc w:val="right"/>
      <w:pPr>
        <w:ind w:left="1020" w:hanging="360"/>
      </w:pPr>
    </w:lvl>
    <w:lvl w:ilvl="5" w:tplc="33886EE0">
      <w:start w:val="1"/>
      <w:numFmt w:val="lowerRoman"/>
      <w:lvlText w:val="%6."/>
      <w:lvlJc w:val="right"/>
      <w:pPr>
        <w:ind w:left="1020" w:hanging="360"/>
      </w:pPr>
    </w:lvl>
    <w:lvl w:ilvl="6" w:tplc="EC88CF6E">
      <w:start w:val="1"/>
      <w:numFmt w:val="lowerRoman"/>
      <w:lvlText w:val="%7."/>
      <w:lvlJc w:val="right"/>
      <w:pPr>
        <w:ind w:left="1020" w:hanging="360"/>
      </w:pPr>
    </w:lvl>
    <w:lvl w:ilvl="7" w:tplc="640CAE3A">
      <w:start w:val="1"/>
      <w:numFmt w:val="lowerRoman"/>
      <w:lvlText w:val="%8."/>
      <w:lvlJc w:val="right"/>
      <w:pPr>
        <w:ind w:left="1020" w:hanging="360"/>
      </w:pPr>
    </w:lvl>
    <w:lvl w:ilvl="8" w:tplc="81B6B108">
      <w:start w:val="1"/>
      <w:numFmt w:val="lowerRoman"/>
      <w:lvlText w:val="%9."/>
      <w:lvlJc w:val="right"/>
      <w:pPr>
        <w:ind w:left="1020" w:hanging="360"/>
      </w:pPr>
    </w:lvl>
  </w:abstractNum>
  <w:abstractNum w:abstractNumId="13" w15:restartNumberingAfterBreak="0">
    <w:nsid w:val="20922A56"/>
    <w:multiLevelType w:val="hybridMultilevel"/>
    <w:tmpl w:val="12D00E22"/>
    <w:lvl w:ilvl="0" w:tplc="9DB0E0EE">
      <w:start w:val="1"/>
      <w:numFmt w:val="upperLetter"/>
      <w:pStyle w:val="Heading3"/>
      <w:lvlText w:val="%1."/>
      <w:lvlJc w:val="left"/>
      <w:pPr>
        <w:ind w:left="720" w:hanging="360"/>
      </w:pPr>
      <w:rPr>
        <w:rFonts w:hint="default"/>
        <w:b/>
        <w:bCs/>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022B4"/>
    <w:multiLevelType w:val="hybridMultilevel"/>
    <w:tmpl w:val="6F243252"/>
    <w:lvl w:ilvl="0" w:tplc="01BA8FE2">
      <w:start w:val="1"/>
      <w:numFmt w:val="upperRoman"/>
      <w:pStyle w:val="Accessibility"/>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F67"/>
    <w:multiLevelType w:val="hybridMultilevel"/>
    <w:tmpl w:val="D6646ED6"/>
    <w:lvl w:ilvl="0" w:tplc="60C84FD4">
      <w:start w:val="1"/>
      <w:numFmt w:val="lowerLetter"/>
      <w:lvlText w:val="%1."/>
      <w:lvlJc w:val="left"/>
      <w:pPr>
        <w:ind w:left="1440" w:hanging="360"/>
      </w:pPr>
      <w:rPr>
        <w:rFonts w:hint="default"/>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C630586"/>
    <w:multiLevelType w:val="hybridMultilevel"/>
    <w:tmpl w:val="A25ADE74"/>
    <w:lvl w:ilvl="0" w:tplc="16E6D960">
      <w:start w:val="1"/>
      <w:numFmt w:val="decimal"/>
      <w:lvlText w:val="%1."/>
      <w:lvlJc w:val="left"/>
      <w:pPr>
        <w:ind w:left="2880" w:hanging="360"/>
      </w:pPr>
      <w:rPr>
        <w:rFonts w:hint="default"/>
        <w:u w:val="single"/>
      </w:rPr>
    </w:lvl>
    <w:lvl w:ilvl="1" w:tplc="FFFFFFFF">
      <w:start w:val="1"/>
      <w:numFmt w:val="lowerLetter"/>
      <w:lvlText w:val="%2."/>
      <w:lvlJc w:val="left"/>
      <w:pPr>
        <w:ind w:left="1440" w:hanging="360"/>
      </w:pPr>
    </w:lvl>
    <w:lvl w:ilvl="2" w:tplc="BE1488C6">
      <w:start w:val="1"/>
      <w:numFmt w:val="lowerRoman"/>
      <w:lvlText w:val="%3."/>
      <w:lvlJc w:val="right"/>
      <w:pPr>
        <w:ind w:left="2160" w:hanging="180"/>
      </w:pPr>
      <w:rPr>
        <w:u w:val="single"/>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0B4D36"/>
    <w:multiLevelType w:val="hybridMultilevel"/>
    <w:tmpl w:val="0D7EFBDC"/>
    <w:lvl w:ilvl="0" w:tplc="B6E0520E">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18" w15:restartNumberingAfterBreak="0">
    <w:nsid w:val="3EAA4253"/>
    <w:multiLevelType w:val="hybridMultilevel"/>
    <w:tmpl w:val="625AA07A"/>
    <w:lvl w:ilvl="0" w:tplc="BE1488C6">
      <w:start w:val="1"/>
      <w:numFmt w:val="lowerRoman"/>
      <w:lvlText w:val="%1."/>
      <w:lvlJc w:val="right"/>
      <w:pPr>
        <w:ind w:left="2160" w:hanging="18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028F"/>
    <w:multiLevelType w:val="hybridMultilevel"/>
    <w:tmpl w:val="4E94E14A"/>
    <w:lvl w:ilvl="0" w:tplc="FFFFFFFF">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0" w15:restartNumberingAfterBreak="0">
    <w:nsid w:val="40012291"/>
    <w:multiLevelType w:val="hybridMultilevel"/>
    <w:tmpl w:val="95E4E120"/>
    <w:lvl w:ilvl="0" w:tplc="1D8CD4F4">
      <w:start w:val="1"/>
      <w:numFmt w:val="lowerRoman"/>
      <w:lvlText w:val="%1."/>
      <w:lvlJc w:val="right"/>
      <w:pPr>
        <w:ind w:left="1020" w:hanging="360"/>
      </w:pPr>
    </w:lvl>
    <w:lvl w:ilvl="1" w:tplc="0C020B62">
      <w:start w:val="1"/>
      <w:numFmt w:val="lowerRoman"/>
      <w:lvlText w:val="%2."/>
      <w:lvlJc w:val="right"/>
      <w:pPr>
        <w:ind w:left="1020" w:hanging="360"/>
      </w:pPr>
    </w:lvl>
    <w:lvl w:ilvl="2" w:tplc="330009D6">
      <w:start w:val="1"/>
      <w:numFmt w:val="lowerRoman"/>
      <w:lvlText w:val="%3."/>
      <w:lvlJc w:val="right"/>
      <w:pPr>
        <w:ind w:left="1020" w:hanging="360"/>
      </w:pPr>
    </w:lvl>
    <w:lvl w:ilvl="3" w:tplc="937C7DE6">
      <w:start w:val="1"/>
      <w:numFmt w:val="lowerRoman"/>
      <w:lvlText w:val="%4."/>
      <w:lvlJc w:val="right"/>
      <w:pPr>
        <w:ind w:left="1020" w:hanging="360"/>
      </w:pPr>
    </w:lvl>
    <w:lvl w:ilvl="4" w:tplc="4B6AB1C6">
      <w:start w:val="1"/>
      <w:numFmt w:val="lowerRoman"/>
      <w:lvlText w:val="%5."/>
      <w:lvlJc w:val="right"/>
      <w:pPr>
        <w:ind w:left="1020" w:hanging="360"/>
      </w:pPr>
    </w:lvl>
    <w:lvl w:ilvl="5" w:tplc="A6F21126">
      <w:start w:val="1"/>
      <w:numFmt w:val="lowerRoman"/>
      <w:lvlText w:val="%6."/>
      <w:lvlJc w:val="right"/>
      <w:pPr>
        <w:ind w:left="1020" w:hanging="360"/>
      </w:pPr>
    </w:lvl>
    <w:lvl w:ilvl="6" w:tplc="64BACB7C">
      <w:start w:val="1"/>
      <w:numFmt w:val="lowerRoman"/>
      <w:lvlText w:val="%7."/>
      <w:lvlJc w:val="right"/>
      <w:pPr>
        <w:ind w:left="1020" w:hanging="360"/>
      </w:pPr>
    </w:lvl>
    <w:lvl w:ilvl="7" w:tplc="DA2EC7A2">
      <w:start w:val="1"/>
      <w:numFmt w:val="lowerRoman"/>
      <w:lvlText w:val="%8."/>
      <w:lvlJc w:val="right"/>
      <w:pPr>
        <w:ind w:left="1020" w:hanging="360"/>
      </w:pPr>
    </w:lvl>
    <w:lvl w:ilvl="8" w:tplc="44EA1C12">
      <w:start w:val="1"/>
      <w:numFmt w:val="lowerRoman"/>
      <w:lvlText w:val="%9."/>
      <w:lvlJc w:val="right"/>
      <w:pPr>
        <w:ind w:left="1020" w:hanging="360"/>
      </w:pPr>
    </w:lvl>
  </w:abstractNum>
  <w:abstractNum w:abstractNumId="21" w15:restartNumberingAfterBreak="0">
    <w:nsid w:val="410B7CE9"/>
    <w:multiLevelType w:val="hybridMultilevel"/>
    <w:tmpl w:val="E4E010B0"/>
    <w:lvl w:ilvl="0" w:tplc="A67A0A3E">
      <w:start w:val="1"/>
      <w:numFmt w:val="lowerRoman"/>
      <w:lvlText w:val="%1."/>
      <w:lvlJc w:val="right"/>
      <w:pPr>
        <w:ind w:left="3600" w:hanging="360"/>
      </w:pPr>
      <w:rPr>
        <w:rFonts w:hint="default"/>
        <w:u w:val="singl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425F746E"/>
    <w:multiLevelType w:val="hybridMultilevel"/>
    <w:tmpl w:val="4E94E14A"/>
    <w:lvl w:ilvl="0" w:tplc="59C0A304">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3" w15:restartNumberingAfterBreak="0">
    <w:nsid w:val="48FE7279"/>
    <w:multiLevelType w:val="hybridMultilevel"/>
    <w:tmpl w:val="CC6E3C00"/>
    <w:lvl w:ilvl="0" w:tplc="24F08DDA">
      <w:start w:val="1"/>
      <w:numFmt w:val="lowerLetter"/>
      <w:lvlText w:val="%1."/>
      <w:lvlJc w:val="left"/>
      <w:pPr>
        <w:ind w:left="1440" w:hanging="360"/>
      </w:pPr>
      <w:rPr>
        <w:rFonts w:hint="default"/>
        <w:u w:val="singl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A653E15"/>
    <w:multiLevelType w:val="hybridMultilevel"/>
    <w:tmpl w:val="2DC8D87C"/>
    <w:lvl w:ilvl="0" w:tplc="04090011">
      <w:start w:val="1"/>
      <w:numFmt w:val="decimal"/>
      <w:lvlText w:val="%1)"/>
      <w:lvlJc w:val="left"/>
      <w:pPr>
        <w:ind w:left="720" w:hanging="360"/>
      </w:pPr>
      <w:rPr>
        <w:rFonts w:hint="default"/>
      </w:rPr>
    </w:lvl>
    <w:lvl w:ilvl="1" w:tplc="BB5C3754">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A7F8B"/>
    <w:multiLevelType w:val="hybridMultilevel"/>
    <w:tmpl w:val="BDD407F2"/>
    <w:lvl w:ilvl="0" w:tplc="883E37E8">
      <w:start w:val="1"/>
      <w:numFmt w:val="upperLetter"/>
      <w:lvlText w:val="%1."/>
      <w:lvlJc w:val="left"/>
      <w:pPr>
        <w:tabs>
          <w:tab w:val="num" w:pos="720"/>
        </w:tabs>
        <w:ind w:left="720" w:hanging="36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B276857"/>
    <w:multiLevelType w:val="hybridMultilevel"/>
    <w:tmpl w:val="B4A80CE8"/>
    <w:lvl w:ilvl="0" w:tplc="FFFFFFFF">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7" w15:restartNumberingAfterBreak="0">
    <w:nsid w:val="4EEF6660"/>
    <w:multiLevelType w:val="hybridMultilevel"/>
    <w:tmpl w:val="5964D234"/>
    <w:lvl w:ilvl="0" w:tplc="FFFFFFFF">
      <w:start w:val="1"/>
      <w:numFmt w:val="decimal"/>
      <w:lvlText w:val="%1)"/>
      <w:lvlJc w:val="left"/>
      <w:pPr>
        <w:ind w:left="720" w:hanging="360"/>
      </w:pPr>
      <w:rPr>
        <w:rFonts w:hint="default"/>
      </w:rPr>
    </w:lvl>
    <w:lvl w:ilvl="1" w:tplc="994EEC96">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4F36D4"/>
    <w:multiLevelType w:val="hybridMultilevel"/>
    <w:tmpl w:val="8D125A7C"/>
    <w:lvl w:ilvl="0" w:tplc="B9347C90">
      <w:start w:val="1"/>
      <w:numFmt w:val="decimal"/>
      <w:lvlText w:val="%1."/>
      <w:lvlJc w:val="left"/>
      <w:pPr>
        <w:ind w:left="2340" w:hanging="360"/>
      </w:pPr>
      <w:rPr>
        <w:rFonts w:hint="default"/>
        <w:b w:val="0"/>
        <w:bCs w:val="0"/>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9" w15:restartNumberingAfterBreak="0">
    <w:nsid w:val="57F52BE7"/>
    <w:multiLevelType w:val="hybridMultilevel"/>
    <w:tmpl w:val="B4A80CE8"/>
    <w:lvl w:ilvl="0" w:tplc="FFFFFFFF">
      <w:start w:val="1"/>
      <w:numFmt w:val="decimal"/>
      <w:lvlText w:val="%1."/>
      <w:lvlJc w:val="left"/>
      <w:pPr>
        <w:ind w:left="2340" w:hanging="360"/>
      </w:pPr>
      <w:rPr>
        <w:rFonts w:ascii="Arial" w:hAnsi="Arial" w:cs="Arial" w:hint="default"/>
        <w:sz w:val="24"/>
        <w:szCs w:val="24"/>
        <w:u w:val="single"/>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30" w15:restartNumberingAfterBreak="0">
    <w:nsid w:val="59B55082"/>
    <w:multiLevelType w:val="hybridMultilevel"/>
    <w:tmpl w:val="DBAE4AAE"/>
    <w:lvl w:ilvl="0" w:tplc="671C36CA">
      <w:start w:val="1"/>
      <w:numFmt w:val="decimal"/>
      <w:lvlText w:val="(%1)"/>
      <w:lvlJc w:val="left"/>
      <w:pPr>
        <w:ind w:left="1440" w:hanging="720"/>
      </w:pPr>
      <w:rPr>
        <w:rFonts w:ascii="Arial" w:eastAsiaTheme="minorHAnsi" w:hAnsi="Arial" w:cs="Arial" w:hint="default"/>
        <w:u w:val="single"/>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B384BB4"/>
    <w:multiLevelType w:val="hybridMultilevel"/>
    <w:tmpl w:val="F7A8AE00"/>
    <w:lvl w:ilvl="0" w:tplc="A97EFBBA">
      <w:start w:val="1"/>
      <w:numFmt w:val="decimal"/>
      <w:lvlText w:val="(%1)"/>
      <w:lvlJc w:val="left"/>
      <w:pPr>
        <w:ind w:left="1440" w:hanging="720"/>
      </w:pPr>
      <w:rPr>
        <w:rFonts w:ascii="Arial" w:eastAsiaTheme="minorHAnsi" w:hAnsi="Arial" w:cs="Arial" w:hint="default"/>
        <w:u w:val="single"/>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CF86279"/>
    <w:multiLevelType w:val="hybridMultilevel"/>
    <w:tmpl w:val="DA0CB3CE"/>
    <w:lvl w:ilvl="0" w:tplc="73B6AFC2">
      <w:start w:val="1"/>
      <w:numFmt w:val="decimal"/>
      <w:lvlText w:val="(%1)"/>
      <w:lvlJc w:val="left"/>
      <w:pPr>
        <w:ind w:left="4320" w:hanging="720"/>
      </w:pPr>
      <w:rPr>
        <w:rFonts w:ascii="Arial" w:eastAsiaTheme="minorHAnsi" w:hAnsi="Arial" w:cs="Arial" w:hint="default"/>
        <w:u w:val="single"/>
      </w:rPr>
    </w:lvl>
    <w:lvl w:ilvl="1" w:tplc="04090019">
      <w:start w:val="1"/>
      <w:numFmt w:val="lowerLetter"/>
      <w:lvlText w:val="%2."/>
      <w:lvlJc w:val="left"/>
      <w:pPr>
        <w:ind w:left="720" w:hanging="360"/>
      </w:pPr>
    </w:lvl>
    <w:lvl w:ilvl="2" w:tplc="18B2B7E4">
      <w:start w:val="1"/>
      <w:numFmt w:val="upperLetter"/>
      <w:lvlText w:val="(%3)"/>
      <w:lvlJc w:val="right"/>
      <w:pPr>
        <w:ind w:left="3870" w:hanging="180"/>
      </w:pPr>
      <w:rPr>
        <w:rFonts w:asciiTheme="minorHAnsi" w:eastAsiaTheme="minorHAnsi" w:hAnsiTheme="minorHAnsi" w:cstheme="minorBidi"/>
      </w:r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61497C60"/>
    <w:multiLevelType w:val="hybridMultilevel"/>
    <w:tmpl w:val="895C0366"/>
    <w:lvl w:ilvl="0" w:tplc="A002F5BE">
      <w:start w:val="1"/>
      <w:numFmt w:val="lowerRoman"/>
      <w:lvlText w:val="%1."/>
      <w:lvlJc w:val="right"/>
      <w:pPr>
        <w:ind w:left="1020" w:hanging="360"/>
      </w:pPr>
    </w:lvl>
    <w:lvl w:ilvl="1" w:tplc="1AF463CC">
      <w:start w:val="1"/>
      <w:numFmt w:val="lowerRoman"/>
      <w:lvlText w:val="%2."/>
      <w:lvlJc w:val="right"/>
      <w:pPr>
        <w:ind w:left="1020" w:hanging="360"/>
      </w:pPr>
    </w:lvl>
    <w:lvl w:ilvl="2" w:tplc="03145606">
      <w:start w:val="1"/>
      <w:numFmt w:val="lowerRoman"/>
      <w:lvlText w:val="%3."/>
      <w:lvlJc w:val="right"/>
      <w:pPr>
        <w:ind w:left="1020" w:hanging="360"/>
      </w:pPr>
    </w:lvl>
    <w:lvl w:ilvl="3" w:tplc="BDF4AC60">
      <w:start w:val="1"/>
      <w:numFmt w:val="lowerRoman"/>
      <w:lvlText w:val="%4."/>
      <w:lvlJc w:val="right"/>
      <w:pPr>
        <w:ind w:left="1020" w:hanging="360"/>
      </w:pPr>
    </w:lvl>
    <w:lvl w:ilvl="4" w:tplc="81F4CBF6">
      <w:start w:val="1"/>
      <w:numFmt w:val="lowerRoman"/>
      <w:lvlText w:val="%5."/>
      <w:lvlJc w:val="right"/>
      <w:pPr>
        <w:ind w:left="1020" w:hanging="360"/>
      </w:pPr>
    </w:lvl>
    <w:lvl w:ilvl="5" w:tplc="3FBEB700">
      <w:start w:val="1"/>
      <w:numFmt w:val="lowerRoman"/>
      <w:lvlText w:val="%6."/>
      <w:lvlJc w:val="right"/>
      <w:pPr>
        <w:ind w:left="1020" w:hanging="360"/>
      </w:pPr>
    </w:lvl>
    <w:lvl w:ilvl="6" w:tplc="30964A90">
      <w:start w:val="1"/>
      <w:numFmt w:val="lowerRoman"/>
      <w:lvlText w:val="%7."/>
      <w:lvlJc w:val="right"/>
      <w:pPr>
        <w:ind w:left="1020" w:hanging="360"/>
      </w:pPr>
    </w:lvl>
    <w:lvl w:ilvl="7" w:tplc="F94A1558">
      <w:start w:val="1"/>
      <w:numFmt w:val="lowerRoman"/>
      <w:lvlText w:val="%8."/>
      <w:lvlJc w:val="right"/>
      <w:pPr>
        <w:ind w:left="1020" w:hanging="360"/>
      </w:pPr>
    </w:lvl>
    <w:lvl w:ilvl="8" w:tplc="45E0182C">
      <w:start w:val="1"/>
      <w:numFmt w:val="lowerRoman"/>
      <w:lvlText w:val="%9."/>
      <w:lvlJc w:val="right"/>
      <w:pPr>
        <w:ind w:left="1020" w:hanging="360"/>
      </w:pPr>
    </w:lvl>
  </w:abstractNum>
  <w:abstractNum w:abstractNumId="34" w15:restartNumberingAfterBreak="0">
    <w:nsid w:val="61E83C72"/>
    <w:multiLevelType w:val="hybridMultilevel"/>
    <w:tmpl w:val="5B94D1B2"/>
    <w:lvl w:ilvl="0" w:tplc="2CBA2FA0">
      <w:start w:val="1"/>
      <w:numFmt w:val="lowerLetter"/>
      <w:lvlText w:val="%1."/>
      <w:lvlJc w:val="left"/>
      <w:pPr>
        <w:ind w:left="1020" w:hanging="360"/>
      </w:pPr>
    </w:lvl>
    <w:lvl w:ilvl="1" w:tplc="8BC6C20E">
      <w:start w:val="1"/>
      <w:numFmt w:val="lowerLetter"/>
      <w:lvlText w:val="%2."/>
      <w:lvlJc w:val="left"/>
      <w:pPr>
        <w:ind w:left="1020" w:hanging="360"/>
      </w:pPr>
    </w:lvl>
    <w:lvl w:ilvl="2" w:tplc="2638AC46">
      <w:start w:val="1"/>
      <w:numFmt w:val="lowerLetter"/>
      <w:lvlText w:val="%3."/>
      <w:lvlJc w:val="left"/>
      <w:pPr>
        <w:ind w:left="1020" w:hanging="360"/>
      </w:pPr>
    </w:lvl>
    <w:lvl w:ilvl="3" w:tplc="80D4C36E">
      <w:start w:val="1"/>
      <w:numFmt w:val="lowerLetter"/>
      <w:lvlText w:val="%4."/>
      <w:lvlJc w:val="left"/>
      <w:pPr>
        <w:ind w:left="1020" w:hanging="360"/>
      </w:pPr>
    </w:lvl>
    <w:lvl w:ilvl="4" w:tplc="E1925EEC">
      <w:start w:val="1"/>
      <w:numFmt w:val="lowerLetter"/>
      <w:lvlText w:val="%5."/>
      <w:lvlJc w:val="left"/>
      <w:pPr>
        <w:ind w:left="1020" w:hanging="360"/>
      </w:pPr>
    </w:lvl>
    <w:lvl w:ilvl="5" w:tplc="1EB68994">
      <w:start w:val="1"/>
      <w:numFmt w:val="lowerLetter"/>
      <w:lvlText w:val="%6."/>
      <w:lvlJc w:val="left"/>
      <w:pPr>
        <w:ind w:left="1020" w:hanging="360"/>
      </w:pPr>
    </w:lvl>
    <w:lvl w:ilvl="6" w:tplc="6FE419A2">
      <w:start w:val="1"/>
      <w:numFmt w:val="lowerLetter"/>
      <w:lvlText w:val="%7."/>
      <w:lvlJc w:val="left"/>
      <w:pPr>
        <w:ind w:left="1020" w:hanging="360"/>
      </w:pPr>
    </w:lvl>
    <w:lvl w:ilvl="7" w:tplc="A9161D98">
      <w:start w:val="1"/>
      <w:numFmt w:val="lowerLetter"/>
      <w:lvlText w:val="%8."/>
      <w:lvlJc w:val="left"/>
      <w:pPr>
        <w:ind w:left="1020" w:hanging="360"/>
      </w:pPr>
    </w:lvl>
    <w:lvl w:ilvl="8" w:tplc="A9F6F67C">
      <w:start w:val="1"/>
      <w:numFmt w:val="lowerLetter"/>
      <w:lvlText w:val="%9."/>
      <w:lvlJc w:val="left"/>
      <w:pPr>
        <w:ind w:left="1020" w:hanging="360"/>
      </w:pPr>
    </w:lvl>
  </w:abstractNum>
  <w:abstractNum w:abstractNumId="35" w15:restartNumberingAfterBreak="0">
    <w:nsid w:val="62AD43D3"/>
    <w:multiLevelType w:val="hybridMultilevel"/>
    <w:tmpl w:val="B0C86002"/>
    <w:lvl w:ilvl="0" w:tplc="CA50F6BE">
      <w:start w:val="1"/>
      <w:numFmt w:val="decimal"/>
      <w:lvlText w:val="(%1)"/>
      <w:lvlJc w:val="left"/>
      <w:pPr>
        <w:ind w:left="1440" w:hanging="720"/>
      </w:pPr>
      <w:rPr>
        <w:rFonts w:ascii="Arial" w:eastAsiaTheme="minorHAnsi" w:hAnsi="Arial" w:cs="Arial" w:hint="default"/>
        <w:u w:val="single"/>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82D47AD"/>
    <w:multiLevelType w:val="hybridMultilevel"/>
    <w:tmpl w:val="A664BD20"/>
    <w:lvl w:ilvl="0" w:tplc="E2149420">
      <w:start w:val="1"/>
      <w:numFmt w:val="upperLetter"/>
      <w:lvlText w:val="%1."/>
      <w:lvlJc w:val="left"/>
      <w:pPr>
        <w:ind w:left="1440" w:hanging="720"/>
      </w:pPr>
      <w:rPr>
        <w:rFonts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B305434"/>
    <w:multiLevelType w:val="hybridMultilevel"/>
    <w:tmpl w:val="899CB87A"/>
    <w:lvl w:ilvl="0" w:tplc="BDF03616">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372C82"/>
    <w:multiLevelType w:val="hybridMultilevel"/>
    <w:tmpl w:val="5322A124"/>
    <w:lvl w:ilvl="0" w:tplc="8D742464">
      <w:start w:val="1"/>
      <w:numFmt w:val="lowerLetter"/>
      <w:lvlText w:val="%1."/>
      <w:lvlJc w:val="left"/>
      <w:pPr>
        <w:ind w:left="1440" w:hanging="360"/>
      </w:pPr>
      <w:rPr>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9428D8"/>
    <w:multiLevelType w:val="hybridMultilevel"/>
    <w:tmpl w:val="67B024CE"/>
    <w:lvl w:ilvl="0" w:tplc="44FCFA62">
      <w:start w:val="1"/>
      <w:numFmt w:val="decimal"/>
      <w:lvlText w:val="(%1)"/>
      <w:lvlJc w:val="left"/>
      <w:pPr>
        <w:ind w:left="1440" w:hanging="720"/>
      </w:pPr>
      <w:rPr>
        <w:rFonts w:ascii="Arial" w:eastAsiaTheme="minorHAnsi" w:hAnsi="Arial" w:cs="Arial" w:hint="default"/>
        <w:u w:val="single"/>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93249FE"/>
    <w:multiLevelType w:val="hybridMultilevel"/>
    <w:tmpl w:val="283CD7D4"/>
    <w:lvl w:ilvl="0" w:tplc="85D245B8">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FB6CA0"/>
    <w:multiLevelType w:val="hybridMultilevel"/>
    <w:tmpl w:val="B4A80CE8"/>
    <w:lvl w:ilvl="0" w:tplc="A6522064">
      <w:start w:val="1"/>
      <w:numFmt w:val="decimal"/>
      <w:lvlText w:val="%1."/>
      <w:lvlJc w:val="left"/>
      <w:pPr>
        <w:ind w:left="2340" w:hanging="360"/>
      </w:pPr>
      <w:rPr>
        <w:rFonts w:ascii="Arial" w:hAnsi="Arial" w:cs="Arial" w:hint="default"/>
        <w:sz w:val="24"/>
        <w:szCs w:val="24"/>
        <w:u w:val="single"/>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42" w15:restartNumberingAfterBreak="0">
    <w:nsid w:val="7A671E73"/>
    <w:multiLevelType w:val="hybridMultilevel"/>
    <w:tmpl w:val="93C20306"/>
    <w:lvl w:ilvl="0" w:tplc="1056F9F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4AEE03C2">
      <w:start w:val="1"/>
      <w:numFmt w:val="decimal"/>
      <w:lvlText w:val="%3."/>
      <w:lvlJc w:val="left"/>
      <w:pPr>
        <w:ind w:left="2880" w:hanging="360"/>
      </w:pPr>
      <w:rPr>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31DB9"/>
    <w:multiLevelType w:val="hybridMultilevel"/>
    <w:tmpl w:val="F3968C52"/>
    <w:lvl w:ilvl="0" w:tplc="B1EACFEE">
      <w:start w:val="1"/>
      <w:numFmt w:val="decimal"/>
      <w:lvlText w:val="%1."/>
      <w:lvlJc w:val="left"/>
      <w:pPr>
        <w:ind w:left="1020" w:hanging="360"/>
      </w:pPr>
    </w:lvl>
    <w:lvl w:ilvl="1" w:tplc="79CC094E">
      <w:start w:val="1"/>
      <w:numFmt w:val="decimal"/>
      <w:lvlText w:val="%2."/>
      <w:lvlJc w:val="left"/>
      <w:pPr>
        <w:ind w:left="1020" w:hanging="360"/>
      </w:pPr>
    </w:lvl>
    <w:lvl w:ilvl="2" w:tplc="40A421F6">
      <w:start w:val="1"/>
      <w:numFmt w:val="decimal"/>
      <w:lvlText w:val="%3."/>
      <w:lvlJc w:val="left"/>
      <w:pPr>
        <w:ind w:left="1020" w:hanging="360"/>
      </w:pPr>
    </w:lvl>
    <w:lvl w:ilvl="3" w:tplc="20FCE446">
      <w:start w:val="1"/>
      <w:numFmt w:val="decimal"/>
      <w:lvlText w:val="%4."/>
      <w:lvlJc w:val="left"/>
      <w:pPr>
        <w:ind w:left="1020" w:hanging="360"/>
      </w:pPr>
    </w:lvl>
    <w:lvl w:ilvl="4" w:tplc="F53A4CE4">
      <w:start w:val="1"/>
      <w:numFmt w:val="decimal"/>
      <w:lvlText w:val="%5."/>
      <w:lvlJc w:val="left"/>
      <w:pPr>
        <w:ind w:left="1020" w:hanging="360"/>
      </w:pPr>
    </w:lvl>
    <w:lvl w:ilvl="5" w:tplc="2E943D82">
      <w:start w:val="1"/>
      <w:numFmt w:val="decimal"/>
      <w:lvlText w:val="%6."/>
      <w:lvlJc w:val="left"/>
      <w:pPr>
        <w:ind w:left="1020" w:hanging="360"/>
      </w:pPr>
    </w:lvl>
    <w:lvl w:ilvl="6" w:tplc="2F8C5D4A">
      <w:start w:val="1"/>
      <w:numFmt w:val="decimal"/>
      <w:lvlText w:val="%7."/>
      <w:lvlJc w:val="left"/>
      <w:pPr>
        <w:ind w:left="1020" w:hanging="360"/>
      </w:pPr>
    </w:lvl>
    <w:lvl w:ilvl="7" w:tplc="46C8F9D4">
      <w:start w:val="1"/>
      <w:numFmt w:val="decimal"/>
      <w:lvlText w:val="%8."/>
      <w:lvlJc w:val="left"/>
      <w:pPr>
        <w:ind w:left="1020" w:hanging="360"/>
      </w:pPr>
    </w:lvl>
    <w:lvl w:ilvl="8" w:tplc="DF8809B0">
      <w:start w:val="1"/>
      <w:numFmt w:val="decimal"/>
      <w:lvlText w:val="%9."/>
      <w:lvlJc w:val="left"/>
      <w:pPr>
        <w:ind w:left="1020" w:hanging="360"/>
      </w:pPr>
    </w:lvl>
  </w:abstractNum>
  <w:abstractNum w:abstractNumId="44" w15:restartNumberingAfterBreak="0">
    <w:nsid w:val="7FFE0F8E"/>
    <w:multiLevelType w:val="hybridMultilevel"/>
    <w:tmpl w:val="F982A800"/>
    <w:lvl w:ilvl="0" w:tplc="840C5D92">
      <w:start w:val="1"/>
      <w:numFmt w:val="decimal"/>
      <w:lvlText w:val="(%1)"/>
      <w:lvlJc w:val="left"/>
      <w:pPr>
        <w:ind w:left="1440" w:hanging="720"/>
      </w:pPr>
      <w:rPr>
        <w:rFonts w:ascii="Arial" w:eastAsiaTheme="minorHAnsi" w:hAnsi="Arial" w:cs="Arial" w:hint="default"/>
        <w:u w:val="single"/>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2913616">
    <w:abstractNumId w:val="41"/>
  </w:num>
  <w:num w:numId="2" w16cid:durableId="1899197933">
    <w:abstractNumId w:val="24"/>
  </w:num>
  <w:num w:numId="3" w16cid:durableId="1334262724">
    <w:abstractNumId w:val="6"/>
  </w:num>
  <w:num w:numId="4" w16cid:durableId="92165808">
    <w:abstractNumId w:val="32"/>
  </w:num>
  <w:num w:numId="5" w16cid:durableId="1676111668">
    <w:abstractNumId w:val="0"/>
  </w:num>
  <w:num w:numId="6" w16cid:durableId="2014605449">
    <w:abstractNumId w:val="14"/>
  </w:num>
  <w:num w:numId="7" w16cid:durableId="773017980">
    <w:abstractNumId w:val="36"/>
  </w:num>
  <w:num w:numId="8" w16cid:durableId="961958097">
    <w:abstractNumId w:val="27"/>
  </w:num>
  <w:num w:numId="9" w16cid:durableId="714696429">
    <w:abstractNumId w:val="40"/>
  </w:num>
  <w:num w:numId="10" w16cid:durableId="1604068220">
    <w:abstractNumId w:val="37"/>
  </w:num>
  <w:num w:numId="11" w16cid:durableId="339241318">
    <w:abstractNumId w:val="23"/>
  </w:num>
  <w:num w:numId="12" w16cid:durableId="993291747">
    <w:abstractNumId w:val="16"/>
  </w:num>
  <w:num w:numId="13" w16cid:durableId="2134714105">
    <w:abstractNumId w:val="35"/>
  </w:num>
  <w:num w:numId="14" w16cid:durableId="1608152212">
    <w:abstractNumId w:val="39"/>
  </w:num>
  <w:num w:numId="15" w16cid:durableId="671294436">
    <w:abstractNumId w:val="44"/>
  </w:num>
  <w:num w:numId="16" w16cid:durableId="759444822">
    <w:abstractNumId w:val="31"/>
  </w:num>
  <w:num w:numId="17" w16cid:durableId="1484195006">
    <w:abstractNumId w:val="10"/>
  </w:num>
  <w:num w:numId="18" w16cid:durableId="1763641249">
    <w:abstractNumId w:val="21"/>
  </w:num>
  <w:num w:numId="19" w16cid:durableId="193810409">
    <w:abstractNumId w:val="42"/>
  </w:num>
  <w:num w:numId="20" w16cid:durableId="322322977">
    <w:abstractNumId w:val="28"/>
  </w:num>
  <w:num w:numId="21" w16cid:durableId="872960695">
    <w:abstractNumId w:val="15"/>
  </w:num>
  <w:num w:numId="22" w16cid:durableId="105202519">
    <w:abstractNumId w:val="30"/>
  </w:num>
  <w:num w:numId="23" w16cid:durableId="805776873">
    <w:abstractNumId w:val="7"/>
  </w:num>
  <w:num w:numId="24" w16cid:durableId="1195536756">
    <w:abstractNumId w:val="3"/>
  </w:num>
  <w:num w:numId="25" w16cid:durableId="296692657">
    <w:abstractNumId w:val="43"/>
  </w:num>
  <w:num w:numId="26" w16cid:durableId="1203202183">
    <w:abstractNumId w:val="25"/>
  </w:num>
  <w:num w:numId="27" w16cid:durableId="1173646123">
    <w:abstractNumId w:val="34"/>
  </w:num>
  <w:num w:numId="28" w16cid:durableId="2029283582">
    <w:abstractNumId w:val="2"/>
  </w:num>
  <w:num w:numId="29" w16cid:durableId="379138449">
    <w:abstractNumId w:val="12"/>
  </w:num>
  <w:num w:numId="30" w16cid:durableId="1469711847">
    <w:abstractNumId w:val="9"/>
  </w:num>
  <w:num w:numId="31" w16cid:durableId="865753282">
    <w:abstractNumId w:val="20"/>
  </w:num>
  <w:num w:numId="32" w16cid:durableId="1384521765">
    <w:abstractNumId w:val="33"/>
  </w:num>
  <w:num w:numId="33" w16cid:durableId="748891702">
    <w:abstractNumId w:val="38"/>
  </w:num>
  <w:num w:numId="34" w16cid:durableId="1203900008">
    <w:abstractNumId w:val="8"/>
  </w:num>
  <w:num w:numId="35" w16cid:durableId="20981783">
    <w:abstractNumId w:val="1"/>
  </w:num>
  <w:num w:numId="36" w16cid:durableId="1271086381">
    <w:abstractNumId w:val="17"/>
  </w:num>
  <w:num w:numId="37" w16cid:durableId="1927761331">
    <w:abstractNumId w:val="22"/>
  </w:num>
  <w:num w:numId="38" w16cid:durableId="67961891">
    <w:abstractNumId w:val="5"/>
  </w:num>
  <w:num w:numId="39" w16cid:durableId="1746415630">
    <w:abstractNumId w:val="19"/>
  </w:num>
  <w:num w:numId="40" w16cid:durableId="286737981">
    <w:abstractNumId w:val="26"/>
  </w:num>
  <w:num w:numId="41" w16cid:durableId="679353386">
    <w:abstractNumId w:val="11"/>
  </w:num>
  <w:num w:numId="42" w16cid:durableId="898636128">
    <w:abstractNumId w:val="4"/>
  </w:num>
  <w:num w:numId="43" w16cid:durableId="1949314078">
    <w:abstractNumId w:val="29"/>
  </w:num>
  <w:num w:numId="44" w16cid:durableId="2135248819">
    <w:abstractNumId w:val="18"/>
  </w:num>
  <w:num w:numId="45" w16cid:durableId="160021880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oOe4X1WZ49hmlehisZ0EsGj3JWfutFINpb2q3DZHgFksfN+wyW5+pyhEINsPdvnO0IOW74T0gH3Vo5Xzwj+mA==" w:salt="uJrs6dgmUXzBUzCCOL17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12"/>
    <w:rsid w:val="00003C9C"/>
    <w:rsid w:val="00006208"/>
    <w:rsid w:val="00010CF4"/>
    <w:rsid w:val="00011694"/>
    <w:rsid w:val="00013122"/>
    <w:rsid w:val="00020077"/>
    <w:rsid w:val="0002538B"/>
    <w:rsid w:val="00025D28"/>
    <w:rsid w:val="00026A63"/>
    <w:rsid w:val="0003251B"/>
    <w:rsid w:val="00032697"/>
    <w:rsid w:val="00034C77"/>
    <w:rsid w:val="000352F7"/>
    <w:rsid w:val="00036FF6"/>
    <w:rsid w:val="000379AC"/>
    <w:rsid w:val="00037DE3"/>
    <w:rsid w:val="00040205"/>
    <w:rsid w:val="00040705"/>
    <w:rsid w:val="00041276"/>
    <w:rsid w:val="000431DD"/>
    <w:rsid w:val="00043A68"/>
    <w:rsid w:val="00044FF4"/>
    <w:rsid w:val="000458DD"/>
    <w:rsid w:val="000513BB"/>
    <w:rsid w:val="000549E8"/>
    <w:rsid w:val="00055B57"/>
    <w:rsid w:val="000603DD"/>
    <w:rsid w:val="0006180C"/>
    <w:rsid w:val="00063E31"/>
    <w:rsid w:val="0006416F"/>
    <w:rsid w:val="00064E6A"/>
    <w:rsid w:val="00070946"/>
    <w:rsid w:val="0007165B"/>
    <w:rsid w:val="0007551C"/>
    <w:rsid w:val="00076CFF"/>
    <w:rsid w:val="000801FB"/>
    <w:rsid w:val="00084DA2"/>
    <w:rsid w:val="0008595B"/>
    <w:rsid w:val="0008770A"/>
    <w:rsid w:val="00093E54"/>
    <w:rsid w:val="00095DB5"/>
    <w:rsid w:val="00096C32"/>
    <w:rsid w:val="00096F57"/>
    <w:rsid w:val="000A01DB"/>
    <w:rsid w:val="000A0E73"/>
    <w:rsid w:val="000A119E"/>
    <w:rsid w:val="000A1267"/>
    <w:rsid w:val="000A26C4"/>
    <w:rsid w:val="000A2D7A"/>
    <w:rsid w:val="000A5279"/>
    <w:rsid w:val="000A5D00"/>
    <w:rsid w:val="000A7E23"/>
    <w:rsid w:val="000A7EC0"/>
    <w:rsid w:val="000B1358"/>
    <w:rsid w:val="000B3176"/>
    <w:rsid w:val="000B3223"/>
    <w:rsid w:val="000B3479"/>
    <w:rsid w:val="000B4349"/>
    <w:rsid w:val="000B4801"/>
    <w:rsid w:val="000B70E4"/>
    <w:rsid w:val="000C5374"/>
    <w:rsid w:val="000C5D8B"/>
    <w:rsid w:val="000C64A4"/>
    <w:rsid w:val="000C6749"/>
    <w:rsid w:val="000D462D"/>
    <w:rsid w:val="000D710D"/>
    <w:rsid w:val="000E08FA"/>
    <w:rsid w:val="000E2339"/>
    <w:rsid w:val="000E38A3"/>
    <w:rsid w:val="000E3C27"/>
    <w:rsid w:val="000E4F50"/>
    <w:rsid w:val="000E56D6"/>
    <w:rsid w:val="000E732D"/>
    <w:rsid w:val="000E7D10"/>
    <w:rsid w:val="000F4B5E"/>
    <w:rsid w:val="000F5996"/>
    <w:rsid w:val="000F715B"/>
    <w:rsid w:val="00100DEC"/>
    <w:rsid w:val="0010259F"/>
    <w:rsid w:val="00111FD2"/>
    <w:rsid w:val="00113032"/>
    <w:rsid w:val="00113B43"/>
    <w:rsid w:val="00114CD5"/>
    <w:rsid w:val="001203FE"/>
    <w:rsid w:val="00122950"/>
    <w:rsid w:val="00126E42"/>
    <w:rsid w:val="00127223"/>
    <w:rsid w:val="0013099A"/>
    <w:rsid w:val="001315CE"/>
    <w:rsid w:val="00132DA1"/>
    <w:rsid w:val="00133C9B"/>
    <w:rsid w:val="00137092"/>
    <w:rsid w:val="0014308B"/>
    <w:rsid w:val="0014604F"/>
    <w:rsid w:val="00146EA9"/>
    <w:rsid w:val="00147ADE"/>
    <w:rsid w:val="00147BDF"/>
    <w:rsid w:val="00152C06"/>
    <w:rsid w:val="001535A0"/>
    <w:rsid w:val="001557DE"/>
    <w:rsid w:val="001576CD"/>
    <w:rsid w:val="00160FEC"/>
    <w:rsid w:val="001625B1"/>
    <w:rsid w:val="00165253"/>
    <w:rsid w:val="001654A3"/>
    <w:rsid w:val="001657EA"/>
    <w:rsid w:val="00166196"/>
    <w:rsid w:val="0016760E"/>
    <w:rsid w:val="0017046E"/>
    <w:rsid w:val="0017253A"/>
    <w:rsid w:val="00177594"/>
    <w:rsid w:val="00177803"/>
    <w:rsid w:val="00177BA5"/>
    <w:rsid w:val="00177E58"/>
    <w:rsid w:val="0018020E"/>
    <w:rsid w:val="0018027A"/>
    <w:rsid w:val="001834A1"/>
    <w:rsid w:val="001841EC"/>
    <w:rsid w:val="00184888"/>
    <w:rsid w:val="00184D53"/>
    <w:rsid w:val="00186414"/>
    <w:rsid w:val="00190F02"/>
    <w:rsid w:val="0019660A"/>
    <w:rsid w:val="00197A82"/>
    <w:rsid w:val="001A044E"/>
    <w:rsid w:val="001A54B8"/>
    <w:rsid w:val="001A6EC1"/>
    <w:rsid w:val="001B2AA4"/>
    <w:rsid w:val="001B4DB1"/>
    <w:rsid w:val="001B559F"/>
    <w:rsid w:val="001C1AD4"/>
    <w:rsid w:val="001C2D06"/>
    <w:rsid w:val="001D22A2"/>
    <w:rsid w:val="001D25EA"/>
    <w:rsid w:val="001D3830"/>
    <w:rsid w:val="001D3D27"/>
    <w:rsid w:val="001D5E04"/>
    <w:rsid w:val="001D6D43"/>
    <w:rsid w:val="001E0640"/>
    <w:rsid w:val="001E064D"/>
    <w:rsid w:val="001E1A43"/>
    <w:rsid w:val="001E1C50"/>
    <w:rsid w:val="001E39F4"/>
    <w:rsid w:val="001E41FE"/>
    <w:rsid w:val="001E4DD7"/>
    <w:rsid w:val="001E7274"/>
    <w:rsid w:val="001F12F2"/>
    <w:rsid w:val="001F214E"/>
    <w:rsid w:val="001F3247"/>
    <w:rsid w:val="00202E2F"/>
    <w:rsid w:val="002070A0"/>
    <w:rsid w:val="00207AD3"/>
    <w:rsid w:val="002100AA"/>
    <w:rsid w:val="002138E8"/>
    <w:rsid w:val="0021410A"/>
    <w:rsid w:val="002144ED"/>
    <w:rsid w:val="00215B3B"/>
    <w:rsid w:val="00220438"/>
    <w:rsid w:val="00220D6C"/>
    <w:rsid w:val="002210F8"/>
    <w:rsid w:val="00224E86"/>
    <w:rsid w:val="00226CA4"/>
    <w:rsid w:val="00235AF9"/>
    <w:rsid w:val="002402AA"/>
    <w:rsid w:val="002409AD"/>
    <w:rsid w:val="00242176"/>
    <w:rsid w:val="0024290F"/>
    <w:rsid w:val="002478E2"/>
    <w:rsid w:val="00250BF7"/>
    <w:rsid w:val="0025204D"/>
    <w:rsid w:val="00252E0D"/>
    <w:rsid w:val="00255137"/>
    <w:rsid w:val="00255A60"/>
    <w:rsid w:val="00255E5E"/>
    <w:rsid w:val="00260071"/>
    <w:rsid w:val="0026156C"/>
    <w:rsid w:val="00262827"/>
    <w:rsid w:val="00262DC5"/>
    <w:rsid w:val="00264A20"/>
    <w:rsid w:val="00267B32"/>
    <w:rsid w:val="00270766"/>
    <w:rsid w:val="002732B5"/>
    <w:rsid w:val="002835FF"/>
    <w:rsid w:val="00283CA4"/>
    <w:rsid w:val="00283E3B"/>
    <w:rsid w:val="00286754"/>
    <w:rsid w:val="00291097"/>
    <w:rsid w:val="002917E2"/>
    <w:rsid w:val="0029652F"/>
    <w:rsid w:val="0029654B"/>
    <w:rsid w:val="00297C56"/>
    <w:rsid w:val="002A23E3"/>
    <w:rsid w:val="002A24EC"/>
    <w:rsid w:val="002A26EC"/>
    <w:rsid w:val="002A4F3F"/>
    <w:rsid w:val="002A516F"/>
    <w:rsid w:val="002A5701"/>
    <w:rsid w:val="002A7180"/>
    <w:rsid w:val="002B1C59"/>
    <w:rsid w:val="002B2E4E"/>
    <w:rsid w:val="002B3B10"/>
    <w:rsid w:val="002B5F7F"/>
    <w:rsid w:val="002B78A6"/>
    <w:rsid w:val="002C1808"/>
    <w:rsid w:val="002C39A2"/>
    <w:rsid w:val="002C5FE4"/>
    <w:rsid w:val="002D0177"/>
    <w:rsid w:val="002D029F"/>
    <w:rsid w:val="002D0A5A"/>
    <w:rsid w:val="002D72DC"/>
    <w:rsid w:val="002E0007"/>
    <w:rsid w:val="002E0096"/>
    <w:rsid w:val="002E1965"/>
    <w:rsid w:val="002E3226"/>
    <w:rsid w:val="002E3FDC"/>
    <w:rsid w:val="002E49CD"/>
    <w:rsid w:val="002E5000"/>
    <w:rsid w:val="002E5BAF"/>
    <w:rsid w:val="002E779A"/>
    <w:rsid w:val="002F0033"/>
    <w:rsid w:val="002F0C3B"/>
    <w:rsid w:val="002F6413"/>
    <w:rsid w:val="002F6B0F"/>
    <w:rsid w:val="002F6B65"/>
    <w:rsid w:val="002F6C7F"/>
    <w:rsid w:val="00300CAC"/>
    <w:rsid w:val="00300D4E"/>
    <w:rsid w:val="0030540A"/>
    <w:rsid w:val="003112AE"/>
    <w:rsid w:val="00313D48"/>
    <w:rsid w:val="0031494C"/>
    <w:rsid w:val="00315742"/>
    <w:rsid w:val="00316837"/>
    <w:rsid w:val="00316A79"/>
    <w:rsid w:val="0032034B"/>
    <w:rsid w:val="00332419"/>
    <w:rsid w:val="0033335F"/>
    <w:rsid w:val="003336CB"/>
    <w:rsid w:val="00334F82"/>
    <w:rsid w:val="003427D0"/>
    <w:rsid w:val="00343303"/>
    <w:rsid w:val="0034549E"/>
    <w:rsid w:val="00346E42"/>
    <w:rsid w:val="00347A10"/>
    <w:rsid w:val="00347D4C"/>
    <w:rsid w:val="003515A2"/>
    <w:rsid w:val="00356274"/>
    <w:rsid w:val="003576A3"/>
    <w:rsid w:val="00357719"/>
    <w:rsid w:val="00360327"/>
    <w:rsid w:val="00361EC3"/>
    <w:rsid w:val="00363B1C"/>
    <w:rsid w:val="0036611A"/>
    <w:rsid w:val="003705F8"/>
    <w:rsid w:val="00373B59"/>
    <w:rsid w:val="00375310"/>
    <w:rsid w:val="00376284"/>
    <w:rsid w:val="00377ADB"/>
    <w:rsid w:val="00381A40"/>
    <w:rsid w:val="003822E9"/>
    <w:rsid w:val="00384565"/>
    <w:rsid w:val="003900ED"/>
    <w:rsid w:val="00393D59"/>
    <w:rsid w:val="0039410C"/>
    <w:rsid w:val="003A1E50"/>
    <w:rsid w:val="003A58B9"/>
    <w:rsid w:val="003B0441"/>
    <w:rsid w:val="003B0509"/>
    <w:rsid w:val="003B0E9A"/>
    <w:rsid w:val="003B2BC1"/>
    <w:rsid w:val="003B4C56"/>
    <w:rsid w:val="003B69CB"/>
    <w:rsid w:val="003B6AE2"/>
    <w:rsid w:val="003B6CEA"/>
    <w:rsid w:val="003C0367"/>
    <w:rsid w:val="003C1402"/>
    <w:rsid w:val="003C58C7"/>
    <w:rsid w:val="003C5E3E"/>
    <w:rsid w:val="003C5F36"/>
    <w:rsid w:val="003C69B6"/>
    <w:rsid w:val="003C6F76"/>
    <w:rsid w:val="003D0538"/>
    <w:rsid w:val="003D10C7"/>
    <w:rsid w:val="003D1326"/>
    <w:rsid w:val="003D1D8E"/>
    <w:rsid w:val="003D47E1"/>
    <w:rsid w:val="003D5265"/>
    <w:rsid w:val="003D5FA5"/>
    <w:rsid w:val="003D6B64"/>
    <w:rsid w:val="003D6D0C"/>
    <w:rsid w:val="003D7B9D"/>
    <w:rsid w:val="003E1AD5"/>
    <w:rsid w:val="003E42E3"/>
    <w:rsid w:val="003E516D"/>
    <w:rsid w:val="003E5474"/>
    <w:rsid w:val="003E5A0A"/>
    <w:rsid w:val="003E60DC"/>
    <w:rsid w:val="003F0E8F"/>
    <w:rsid w:val="003F5D60"/>
    <w:rsid w:val="003F683F"/>
    <w:rsid w:val="00401763"/>
    <w:rsid w:val="004025AB"/>
    <w:rsid w:val="0041192A"/>
    <w:rsid w:val="00413FB0"/>
    <w:rsid w:val="00416788"/>
    <w:rsid w:val="00420035"/>
    <w:rsid w:val="004208EC"/>
    <w:rsid w:val="00420C02"/>
    <w:rsid w:val="00423233"/>
    <w:rsid w:val="00423832"/>
    <w:rsid w:val="00423EB6"/>
    <w:rsid w:val="00425C20"/>
    <w:rsid w:val="0042707F"/>
    <w:rsid w:val="0043065A"/>
    <w:rsid w:val="0044214C"/>
    <w:rsid w:val="004434AD"/>
    <w:rsid w:val="004452B1"/>
    <w:rsid w:val="0044592F"/>
    <w:rsid w:val="00450964"/>
    <w:rsid w:val="004519AA"/>
    <w:rsid w:val="00451AB8"/>
    <w:rsid w:val="0045463B"/>
    <w:rsid w:val="00455758"/>
    <w:rsid w:val="00456B6D"/>
    <w:rsid w:val="00457478"/>
    <w:rsid w:val="00457A82"/>
    <w:rsid w:val="004604CB"/>
    <w:rsid w:val="00460F76"/>
    <w:rsid w:val="004617C2"/>
    <w:rsid w:val="00462ECC"/>
    <w:rsid w:val="00464A48"/>
    <w:rsid w:val="004719DD"/>
    <w:rsid w:val="004724E0"/>
    <w:rsid w:val="00472DEF"/>
    <w:rsid w:val="0047535C"/>
    <w:rsid w:val="00475E57"/>
    <w:rsid w:val="004766DE"/>
    <w:rsid w:val="00476F44"/>
    <w:rsid w:val="004802C5"/>
    <w:rsid w:val="00483013"/>
    <w:rsid w:val="00483C01"/>
    <w:rsid w:val="00484ECA"/>
    <w:rsid w:val="00485324"/>
    <w:rsid w:val="00485D35"/>
    <w:rsid w:val="0049306E"/>
    <w:rsid w:val="004A3375"/>
    <w:rsid w:val="004A447E"/>
    <w:rsid w:val="004A451C"/>
    <w:rsid w:val="004A4C42"/>
    <w:rsid w:val="004A5D30"/>
    <w:rsid w:val="004A7A7C"/>
    <w:rsid w:val="004B27D8"/>
    <w:rsid w:val="004B29A4"/>
    <w:rsid w:val="004B2B80"/>
    <w:rsid w:val="004B3C5A"/>
    <w:rsid w:val="004B4E67"/>
    <w:rsid w:val="004C210F"/>
    <w:rsid w:val="004C3324"/>
    <w:rsid w:val="004C34AC"/>
    <w:rsid w:val="004C52A0"/>
    <w:rsid w:val="004C645B"/>
    <w:rsid w:val="004D00A5"/>
    <w:rsid w:val="004D2346"/>
    <w:rsid w:val="004D3E8E"/>
    <w:rsid w:val="004D7300"/>
    <w:rsid w:val="004D730C"/>
    <w:rsid w:val="004E0D3A"/>
    <w:rsid w:val="004E229B"/>
    <w:rsid w:val="004E35C4"/>
    <w:rsid w:val="004E576A"/>
    <w:rsid w:val="004E6F6D"/>
    <w:rsid w:val="004E7F92"/>
    <w:rsid w:val="004F1062"/>
    <w:rsid w:val="004F2767"/>
    <w:rsid w:val="004F3284"/>
    <w:rsid w:val="005025AB"/>
    <w:rsid w:val="0050316A"/>
    <w:rsid w:val="00505D61"/>
    <w:rsid w:val="00506B11"/>
    <w:rsid w:val="00507D16"/>
    <w:rsid w:val="00515BE0"/>
    <w:rsid w:val="00515E6B"/>
    <w:rsid w:val="00516093"/>
    <w:rsid w:val="00516A3B"/>
    <w:rsid w:val="005178DE"/>
    <w:rsid w:val="00521629"/>
    <w:rsid w:val="00526A2F"/>
    <w:rsid w:val="005304BE"/>
    <w:rsid w:val="00533447"/>
    <w:rsid w:val="00541EEB"/>
    <w:rsid w:val="00542214"/>
    <w:rsid w:val="00547574"/>
    <w:rsid w:val="00550D0A"/>
    <w:rsid w:val="00552499"/>
    <w:rsid w:val="00552A9E"/>
    <w:rsid w:val="0055305C"/>
    <w:rsid w:val="005560E7"/>
    <w:rsid w:val="00561FAC"/>
    <w:rsid w:val="005625A7"/>
    <w:rsid w:val="00564581"/>
    <w:rsid w:val="00565938"/>
    <w:rsid w:val="0056705E"/>
    <w:rsid w:val="005719EA"/>
    <w:rsid w:val="0057216A"/>
    <w:rsid w:val="00572CA8"/>
    <w:rsid w:val="005803DF"/>
    <w:rsid w:val="00582CAB"/>
    <w:rsid w:val="00583905"/>
    <w:rsid w:val="00587140"/>
    <w:rsid w:val="00590E44"/>
    <w:rsid w:val="00592116"/>
    <w:rsid w:val="005923F7"/>
    <w:rsid w:val="00593B8D"/>
    <w:rsid w:val="00594A71"/>
    <w:rsid w:val="00594F85"/>
    <w:rsid w:val="00595ED4"/>
    <w:rsid w:val="005973A5"/>
    <w:rsid w:val="005A0EFB"/>
    <w:rsid w:val="005A26D7"/>
    <w:rsid w:val="005A465F"/>
    <w:rsid w:val="005A5510"/>
    <w:rsid w:val="005A61FB"/>
    <w:rsid w:val="005A6D1A"/>
    <w:rsid w:val="005B1075"/>
    <w:rsid w:val="005B3FB1"/>
    <w:rsid w:val="005B4EF8"/>
    <w:rsid w:val="005B782F"/>
    <w:rsid w:val="005C0FC4"/>
    <w:rsid w:val="005C239C"/>
    <w:rsid w:val="005C4544"/>
    <w:rsid w:val="005C4E75"/>
    <w:rsid w:val="005C4FB3"/>
    <w:rsid w:val="005C5B71"/>
    <w:rsid w:val="005C682F"/>
    <w:rsid w:val="005D04C2"/>
    <w:rsid w:val="005D2229"/>
    <w:rsid w:val="005D2884"/>
    <w:rsid w:val="005D4D01"/>
    <w:rsid w:val="005D5C43"/>
    <w:rsid w:val="005D5F86"/>
    <w:rsid w:val="005D65FB"/>
    <w:rsid w:val="005E2449"/>
    <w:rsid w:val="005E3DA2"/>
    <w:rsid w:val="005E406C"/>
    <w:rsid w:val="005E4184"/>
    <w:rsid w:val="005E49E7"/>
    <w:rsid w:val="005E7749"/>
    <w:rsid w:val="005E7C93"/>
    <w:rsid w:val="005F0195"/>
    <w:rsid w:val="005F481E"/>
    <w:rsid w:val="005F484D"/>
    <w:rsid w:val="005F5684"/>
    <w:rsid w:val="0060060E"/>
    <w:rsid w:val="0060096B"/>
    <w:rsid w:val="006021D4"/>
    <w:rsid w:val="00604EA9"/>
    <w:rsid w:val="0061311C"/>
    <w:rsid w:val="006143B5"/>
    <w:rsid w:val="0061640D"/>
    <w:rsid w:val="00616537"/>
    <w:rsid w:val="00622FE1"/>
    <w:rsid w:val="0062318E"/>
    <w:rsid w:val="006243B7"/>
    <w:rsid w:val="00627A27"/>
    <w:rsid w:val="00632773"/>
    <w:rsid w:val="00634101"/>
    <w:rsid w:val="00634CA2"/>
    <w:rsid w:val="00635F7B"/>
    <w:rsid w:val="0063707B"/>
    <w:rsid w:val="00637C4B"/>
    <w:rsid w:val="00637F77"/>
    <w:rsid w:val="00644A4C"/>
    <w:rsid w:val="00650500"/>
    <w:rsid w:val="006511CD"/>
    <w:rsid w:val="00655F83"/>
    <w:rsid w:val="00660311"/>
    <w:rsid w:val="0066166A"/>
    <w:rsid w:val="00662BC5"/>
    <w:rsid w:val="00663242"/>
    <w:rsid w:val="00665AD0"/>
    <w:rsid w:val="00666C08"/>
    <w:rsid w:val="00667C9D"/>
    <w:rsid w:val="00667DDF"/>
    <w:rsid w:val="0067326E"/>
    <w:rsid w:val="006768CF"/>
    <w:rsid w:val="00676D3A"/>
    <w:rsid w:val="00677959"/>
    <w:rsid w:val="00680896"/>
    <w:rsid w:val="00680912"/>
    <w:rsid w:val="006847E9"/>
    <w:rsid w:val="00684D0C"/>
    <w:rsid w:val="006859EF"/>
    <w:rsid w:val="006912FD"/>
    <w:rsid w:val="00691C5D"/>
    <w:rsid w:val="00691CFD"/>
    <w:rsid w:val="00692FF0"/>
    <w:rsid w:val="006935DA"/>
    <w:rsid w:val="006A039D"/>
    <w:rsid w:val="006A03E4"/>
    <w:rsid w:val="006A1084"/>
    <w:rsid w:val="006A712F"/>
    <w:rsid w:val="006A74DE"/>
    <w:rsid w:val="006B1A4B"/>
    <w:rsid w:val="006B2910"/>
    <w:rsid w:val="006B5630"/>
    <w:rsid w:val="006B62C3"/>
    <w:rsid w:val="006B7E96"/>
    <w:rsid w:val="006C251B"/>
    <w:rsid w:val="006C429F"/>
    <w:rsid w:val="006C63A5"/>
    <w:rsid w:val="006C7080"/>
    <w:rsid w:val="006D2638"/>
    <w:rsid w:val="006D3532"/>
    <w:rsid w:val="006D6361"/>
    <w:rsid w:val="006D7FBB"/>
    <w:rsid w:val="006E2F8B"/>
    <w:rsid w:val="006E356A"/>
    <w:rsid w:val="006E3E85"/>
    <w:rsid w:val="006E44E1"/>
    <w:rsid w:val="006F1B01"/>
    <w:rsid w:val="006F484D"/>
    <w:rsid w:val="0070535C"/>
    <w:rsid w:val="00706C5B"/>
    <w:rsid w:val="00707CD6"/>
    <w:rsid w:val="00710F99"/>
    <w:rsid w:val="00711797"/>
    <w:rsid w:val="007124D1"/>
    <w:rsid w:val="00715598"/>
    <w:rsid w:val="00720082"/>
    <w:rsid w:val="007207C2"/>
    <w:rsid w:val="007214D9"/>
    <w:rsid w:val="0072190E"/>
    <w:rsid w:val="00722C46"/>
    <w:rsid w:val="00722F10"/>
    <w:rsid w:val="007246E1"/>
    <w:rsid w:val="007251BD"/>
    <w:rsid w:val="00726461"/>
    <w:rsid w:val="00730306"/>
    <w:rsid w:val="00730433"/>
    <w:rsid w:val="00732CF5"/>
    <w:rsid w:val="007415AB"/>
    <w:rsid w:val="00744D86"/>
    <w:rsid w:val="007459D0"/>
    <w:rsid w:val="007471C2"/>
    <w:rsid w:val="00747759"/>
    <w:rsid w:val="00747D4A"/>
    <w:rsid w:val="00750138"/>
    <w:rsid w:val="00751ACE"/>
    <w:rsid w:val="00752FC5"/>
    <w:rsid w:val="0076052B"/>
    <w:rsid w:val="00760568"/>
    <w:rsid w:val="007607AB"/>
    <w:rsid w:val="00760C36"/>
    <w:rsid w:val="0076275C"/>
    <w:rsid w:val="00766E87"/>
    <w:rsid w:val="0077211F"/>
    <w:rsid w:val="00773F09"/>
    <w:rsid w:val="00776817"/>
    <w:rsid w:val="007831B3"/>
    <w:rsid w:val="00783312"/>
    <w:rsid w:val="007837B8"/>
    <w:rsid w:val="00783B63"/>
    <w:rsid w:val="00784065"/>
    <w:rsid w:val="00784BEA"/>
    <w:rsid w:val="00784D28"/>
    <w:rsid w:val="00790D02"/>
    <w:rsid w:val="00792873"/>
    <w:rsid w:val="00794C07"/>
    <w:rsid w:val="00794E45"/>
    <w:rsid w:val="007953A8"/>
    <w:rsid w:val="007973BA"/>
    <w:rsid w:val="00797C09"/>
    <w:rsid w:val="007A215C"/>
    <w:rsid w:val="007A43A9"/>
    <w:rsid w:val="007A5584"/>
    <w:rsid w:val="007A6D05"/>
    <w:rsid w:val="007A7A66"/>
    <w:rsid w:val="007A7A91"/>
    <w:rsid w:val="007B1639"/>
    <w:rsid w:val="007B1DFC"/>
    <w:rsid w:val="007B21F4"/>
    <w:rsid w:val="007B39E8"/>
    <w:rsid w:val="007B3AE5"/>
    <w:rsid w:val="007B4E4F"/>
    <w:rsid w:val="007B6DB8"/>
    <w:rsid w:val="007B74B7"/>
    <w:rsid w:val="007C0207"/>
    <w:rsid w:val="007C17C3"/>
    <w:rsid w:val="007C19B5"/>
    <w:rsid w:val="007C1F6D"/>
    <w:rsid w:val="007C7B64"/>
    <w:rsid w:val="007D0E4A"/>
    <w:rsid w:val="007D1B1B"/>
    <w:rsid w:val="007D1C40"/>
    <w:rsid w:val="007D34BB"/>
    <w:rsid w:val="007E446E"/>
    <w:rsid w:val="007E4B05"/>
    <w:rsid w:val="007F11E5"/>
    <w:rsid w:val="007F2131"/>
    <w:rsid w:val="007F3242"/>
    <w:rsid w:val="007F47AF"/>
    <w:rsid w:val="007F600A"/>
    <w:rsid w:val="0080281B"/>
    <w:rsid w:val="008028EE"/>
    <w:rsid w:val="00802E7F"/>
    <w:rsid w:val="00803929"/>
    <w:rsid w:val="00803B49"/>
    <w:rsid w:val="00805980"/>
    <w:rsid w:val="00807E62"/>
    <w:rsid w:val="008107A9"/>
    <w:rsid w:val="0081125F"/>
    <w:rsid w:val="00814A1E"/>
    <w:rsid w:val="00814BB6"/>
    <w:rsid w:val="00815A42"/>
    <w:rsid w:val="00816FBE"/>
    <w:rsid w:val="00820F1E"/>
    <w:rsid w:val="008210A7"/>
    <w:rsid w:val="00821668"/>
    <w:rsid w:val="00823B2D"/>
    <w:rsid w:val="00824276"/>
    <w:rsid w:val="008244AE"/>
    <w:rsid w:val="00827D1C"/>
    <w:rsid w:val="008303DE"/>
    <w:rsid w:val="00830E70"/>
    <w:rsid w:val="00833A89"/>
    <w:rsid w:val="00833AC0"/>
    <w:rsid w:val="00837E88"/>
    <w:rsid w:val="00840898"/>
    <w:rsid w:val="00841EF5"/>
    <w:rsid w:val="00843B56"/>
    <w:rsid w:val="00844062"/>
    <w:rsid w:val="00845DFA"/>
    <w:rsid w:val="00850C7A"/>
    <w:rsid w:val="0085450F"/>
    <w:rsid w:val="008556D9"/>
    <w:rsid w:val="00856B6C"/>
    <w:rsid w:val="008614CF"/>
    <w:rsid w:val="00861D8D"/>
    <w:rsid w:val="00864361"/>
    <w:rsid w:val="00864BCE"/>
    <w:rsid w:val="00866666"/>
    <w:rsid w:val="00871252"/>
    <w:rsid w:val="00873C79"/>
    <w:rsid w:val="00875A26"/>
    <w:rsid w:val="0087688A"/>
    <w:rsid w:val="008775D1"/>
    <w:rsid w:val="00881362"/>
    <w:rsid w:val="00881CE7"/>
    <w:rsid w:val="00882249"/>
    <w:rsid w:val="008834D3"/>
    <w:rsid w:val="00885692"/>
    <w:rsid w:val="00887D8C"/>
    <w:rsid w:val="008911CD"/>
    <w:rsid w:val="00891307"/>
    <w:rsid w:val="0089386F"/>
    <w:rsid w:val="008938E5"/>
    <w:rsid w:val="008959C6"/>
    <w:rsid w:val="00896B1B"/>
    <w:rsid w:val="00896F64"/>
    <w:rsid w:val="008A081C"/>
    <w:rsid w:val="008A1A28"/>
    <w:rsid w:val="008A6EDD"/>
    <w:rsid w:val="008A78FE"/>
    <w:rsid w:val="008B0AC2"/>
    <w:rsid w:val="008B1729"/>
    <w:rsid w:val="008B453A"/>
    <w:rsid w:val="008B5726"/>
    <w:rsid w:val="008C0074"/>
    <w:rsid w:val="008C1F4D"/>
    <w:rsid w:val="008C36DF"/>
    <w:rsid w:val="008C3CE8"/>
    <w:rsid w:val="008C7030"/>
    <w:rsid w:val="008C7971"/>
    <w:rsid w:val="008D411E"/>
    <w:rsid w:val="008D570F"/>
    <w:rsid w:val="008D6996"/>
    <w:rsid w:val="008D6D68"/>
    <w:rsid w:val="008D7B78"/>
    <w:rsid w:val="008E40D0"/>
    <w:rsid w:val="008E5AA1"/>
    <w:rsid w:val="008E5C13"/>
    <w:rsid w:val="008E65E0"/>
    <w:rsid w:val="008F0314"/>
    <w:rsid w:val="008F2C91"/>
    <w:rsid w:val="008F5681"/>
    <w:rsid w:val="008F659B"/>
    <w:rsid w:val="008F68D0"/>
    <w:rsid w:val="0090001A"/>
    <w:rsid w:val="0090203A"/>
    <w:rsid w:val="0090288E"/>
    <w:rsid w:val="00903CD6"/>
    <w:rsid w:val="0091369D"/>
    <w:rsid w:val="00915AAC"/>
    <w:rsid w:val="00916007"/>
    <w:rsid w:val="0092306A"/>
    <w:rsid w:val="00930A26"/>
    <w:rsid w:val="009330C3"/>
    <w:rsid w:val="009331CF"/>
    <w:rsid w:val="00937D26"/>
    <w:rsid w:val="00940F4D"/>
    <w:rsid w:val="0094100D"/>
    <w:rsid w:val="009416F7"/>
    <w:rsid w:val="00941CCB"/>
    <w:rsid w:val="0094246E"/>
    <w:rsid w:val="00942E1F"/>
    <w:rsid w:val="0094524E"/>
    <w:rsid w:val="009452B9"/>
    <w:rsid w:val="00945820"/>
    <w:rsid w:val="0094609E"/>
    <w:rsid w:val="00951C2E"/>
    <w:rsid w:val="00953524"/>
    <w:rsid w:val="0095618C"/>
    <w:rsid w:val="00956266"/>
    <w:rsid w:val="0095685A"/>
    <w:rsid w:val="00960251"/>
    <w:rsid w:val="00961263"/>
    <w:rsid w:val="009629FC"/>
    <w:rsid w:val="00962FEB"/>
    <w:rsid w:val="009646D3"/>
    <w:rsid w:val="009647FF"/>
    <w:rsid w:val="0096764B"/>
    <w:rsid w:val="00971C1A"/>
    <w:rsid w:val="0097301C"/>
    <w:rsid w:val="0097340C"/>
    <w:rsid w:val="0097505E"/>
    <w:rsid w:val="009753ED"/>
    <w:rsid w:val="00975F5C"/>
    <w:rsid w:val="00976476"/>
    <w:rsid w:val="009772AE"/>
    <w:rsid w:val="00977709"/>
    <w:rsid w:val="00977D40"/>
    <w:rsid w:val="0098006F"/>
    <w:rsid w:val="00983987"/>
    <w:rsid w:val="00984548"/>
    <w:rsid w:val="00984855"/>
    <w:rsid w:val="00985E8A"/>
    <w:rsid w:val="00986912"/>
    <w:rsid w:val="00990E5C"/>
    <w:rsid w:val="00991378"/>
    <w:rsid w:val="00992265"/>
    <w:rsid w:val="00995CD1"/>
    <w:rsid w:val="009964AB"/>
    <w:rsid w:val="00997AED"/>
    <w:rsid w:val="009A0CD8"/>
    <w:rsid w:val="009A2C3B"/>
    <w:rsid w:val="009A5E44"/>
    <w:rsid w:val="009A6B38"/>
    <w:rsid w:val="009B03B2"/>
    <w:rsid w:val="009B4082"/>
    <w:rsid w:val="009B7F36"/>
    <w:rsid w:val="009C2ED8"/>
    <w:rsid w:val="009C3BE8"/>
    <w:rsid w:val="009C3D5B"/>
    <w:rsid w:val="009C45E5"/>
    <w:rsid w:val="009C4D67"/>
    <w:rsid w:val="009C62F6"/>
    <w:rsid w:val="009C7388"/>
    <w:rsid w:val="009D2A3B"/>
    <w:rsid w:val="009D3A85"/>
    <w:rsid w:val="009D7295"/>
    <w:rsid w:val="009E3773"/>
    <w:rsid w:val="009E7290"/>
    <w:rsid w:val="009F09EA"/>
    <w:rsid w:val="009F11C4"/>
    <w:rsid w:val="009F263E"/>
    <w:rsid w:val="009F3AE6"/>
    <w:rsid w:val="009F60FC"/>
    <w:rsid w:val="009F6508"/>
    <w:rsid w:val="009F6AD0"/>
    <w:rsid w:val="009F6FB6"/>
    <w:rsid w:val="00A0012B"/>
    <w:rsid w:val="00A013EB"/>
    <w:rsid w:val="00A07966"/>
    <w:rsid w:val="00A120A2"/>
    <w:rsid w:val="00A1220E"/>
    <w:rsid w:val="00A13AE8"/>
    <w:rsid w:val="00A15ED6"/>
    <w:rsid w:val="00A16433"/>
    <w:rsid w:val="00A169B4"/>
    <w:rsid w:val="00A17B70"/>
    <w:rsid w:val="00A259B8"/>
    <w:rsid w:val="00A26D59"/>
    <w:rsid w:val="00A27D91"/>
    <w:rsid w:val="00A27E02"/>
    <w:rsid w:val="00A33137"/>
    <w:rsid w:val="00A40456"/>
    <w:rsid w:val="00A41110"/>
    <w:rsid w:val="00A43943"/>
    <w:rsid w:val="00A43C56"/>
    <w:rsid w:val="00A43D69"/>
    <w:rsid w:val="00A45445"/>
    <w:rsid w:val="00A45E97"/>
    <w:rsid w:val="00A467CB"/>
    <w:rsid w:val="00A46F4D"/>
    <w:rsid w:val="00A47A3C"/>
    <w:rsid w:val="00A516CA"/>
    <w:rsid w:val="00A51B26"/>
    <w:rsid w:val="00A51FAF"/>
    <w:rsid w:val="00A53005"/>
    <w:rsid w:val="00A53B25"/>
    <w:rsid w:val="00A55852"/>
    <w:rsid w:val="00A568E4"/>
    <w:rsid w:val="00A56E17"/>
    <w:rsid w:val="00A632BA"/>
    <w:rsid w:val="00A67FA0"/>
    <w:rsid w:val="00A7079B"/>
    <w:rsid w:val="00A711E7"/>
    <w:rsid w:val="00A72796"/>
    <w:rsid w:val="00A72A83"/>
    <w:rsid w:val="00A741E9"/>
    <w:rsid w:val="00A745C2"/>
    <w:rsid w:val="00A77BA8"/>
    <w:rsid w:val="00A80214"/>
    <w:rsid w:val="00A80332"/>
    <w:rsid w:val="00A81A3A"/>
    <w:rsid w:val="00A838E8"/>
    <w:rsid w:val="00A85492"/>
    <w:rsid w:val="00A862F5"/>
    <w:rsid w:val="00A86C7E"/>
    <w:rsid w:val="00A92239"/>
    <w:rsid w:val="00A94128"/>
    <w:rsid w:val="00A949C4"/>
    <w:rsid w:val="00AA135B"/>
    <w:rsid w:val="00AA4AB2"/>
    <w:rsid w:val="00AA79E9"/>
    <w:rsid w:val="00AA7A13"/>
    <w:rsid w:val="00AB323A"/>
    <w:rsid w:val="00AB7158"/>
    <w:rsid w:val="00AB78C0"/>
    <w:rsid w:val="00AC0E58"/>
    <w:rsid w:val="00AC170E"/>
    <w:rsid w:val="00AC190B"/>
    <w:rsid w:val="00AC298E"/>
    <w:rsid w:val="00AC299F"/>
    <w:rsid w:val="00AC427A"/>
    <w:rsid w:val="00AC47FE"/>
    <w:rsid w:val="00AC4E6B"/>
    <w:rsid w:val="00AC535A"/>
    <w:rsid w:val="00AC611B"/>
    <w:rsid w:val="00AC65C0"/>
    <w:rsid w:val="00AC6993"/>
    <w:rsid w:val="00AC7A81"/>
    <w:rsid w:val="00AC7E01"/>
    <w:rsid w:val="00AD0EAD"/>
    <w:rsid w:val="00AD17D6"/>
    <w:rsid w:val="00AD34A3"/>
    <w:rsid w:val="00AE1D3A"/>
    <w:rsid w:val="00AE29E8"/>
    <w:rsid w:val="00AE37A0"/>
    <w:rsid w:val="00AE45F8"/>
    <w:rsid w:val="00AE5792"/>
    <w:rsid w:val="00AE7F6B"/>
    <w:rsid w:val="00AF02CA"/>
    <w:rsid w:val="00AF0D6D"/>
    <w:rsid w:val="00B030C3"/>
    <w:rsid w:val="00B035A7"/>
    <w:rsid w:val="00B04663"/>
    <w:rsid w:val="00B04B13"/>
    <w:rsid w:val="00B1026D"/>
    <w:rsid w:val="00B119D6"/>
    <w:rsid w:val="00B136FB"/>
    <w:rsid w:val="00B139AA"/>
    <w:rsid w:val="00B214F3"/>
    <w:rsid w:val="00B24EB5"/>
    <w:rsid w:val="00B267B8"/>
    <w:rsid w:val="00B26E7B"/>
    <w:rsid w:val="00B27F50"/>
    <w:rsid w:val="00B31A93"/>
    <w:rsid w:val="00B33B0E"/>
    <w:rsid w:val="00B33FFF"/>
    <w:rsid w:val="00B3507E"/>
    <w:rsid w:val="00B35D7E"/>
    <w:rsid w:val="00B366AD"/>
    <w:rsid w:val="00B36BDC"/>
    <w:rsid w:val="00B372BA"/>
    <w:rsid w:val="00B40ABB"/>
    <w:rsid w:val="00B414E3"/>
    <w:rsid w:val="00B4187C"/>
    <w:rsid w:val="00B41C02"/>
    <w:rsid w:val="00B41C9E"/>
    <w:rsid w:val="00B41CD7"/>
    <w:rsid w:val="00B44C16"/>
    <w:rsid w:val="00B4543E"/>
    <w:rsid w:val="00B45BBB"/>
    <w:rsid w:val="00B47A4F"/>
    <w:rsid w:val="00B47FA1"/>
    <w:rsid w:val="00B509D0"/>
    <w:rsid w:val="00B51B90"/>
    <w:rsid w:val="00B51D03"/>
    <w:rsid w:val="00B51F5E"/>
    <w:rsid w:val="00B5292E"/>
    <w:rsid w:val="00B57A6F"/>
    <w:rsid w:val="00B60771"/>
    <w:rsid w:val="00B60A78"/>
    <w:rsid w:val="00B61074"/>
    <w:rsid w:val="00B61F40"/>
    <w:rsid w:val="00B61F74"/>
    <w:rsid w:val="00B63697"/>
    <w:rsid w:val="00B63961"/>
    <w:rsid w:val="00B63E45"/>
    <w:rsid w:val="00B6523B"/>
    <w:rsid w:val="00B65ACC"/>
    <w:rsid w:val="00B66D59"/>
    <w:rsid w:val="00B67A20"/>
    <w:rsid w:val="00B71927"/>
    <w:rsid w:val="00B72CDB"/>
    <w:rsid w:val="00B75524"/>
    <w:rsid w:val="00B76908"/>
    <w:rsid w:val="00B77CFC"/>
    <w:rsid w:val="00B77D1D"/>
    <w:rsid w:val="00B800FB"/>
    <w:rsid w:val="00B814A0"/>
    <w:rsid w:val="00B819BA"/>
    <w:rsid w:val="00B82A37"/>
    <w:rsid w:val="00B84F26"/>
    <w:rsid w:val="00B850E5"/>
    <w:rsid w:val="00B91246"/>
    <w:rsid w:val="00B91BDC"/>
    <w:rsid w:val="00B9292B"/>
    <w:rsid w:val="00B92D23"/>
    <w:rsid w:val="00B94366"/>
    <w:rsid w:val="00B973FE"/>
    <w:rsid w:val="00BA0B42"/>
    <w:rsid w:val="00BA0ECD"/>
    <w:rsid w:val="00BA1CC9"/>
    <w:rsid w:val="00BA2F9B"/>
    <w:rsid w:val="00BA6B78"/>
    <w:rsid w:val="00BA6EB6"/>
    <w:rsid w:val="00BB0627"/>
    <w:rsid w:val="00BB12DF"/>
    <w:rsid w:val="00BB35B0"/>
    <w:rsid w:val="00BB3C39"/>
    <w:rsid w:val="00BB611A"/>
    <w:rsid w:val="00BB7AA8"/>
    <w:rsid w:val="00BC2A14"/>
    <w:rsid w:val="00BC587C"/>
    <w:rsid w:val="00BC5B13"/>
    <w:rsid w:val="00BC5DBD"/>
    <w:rsid w:val="00BC6C55"/>
    <w:rsid w:val="00BD0C02"/>
    <w:rsid w:val="00BD2580"/>
    <w:rsid w:val="00BD2A89"/>
    <w:rsid w:val="00BD6337"/>
    <w:rsid w:val="00BD67A7"/>
    <w:rsid w:val="00BD6D79"/>
    <w:rsid w:val="00BD7C1F"/>
    <w:rsid w:val="00BE1344"/>
    <w:rsid w:val="00BE310C"/>
    <w:rsid w:val="00BE5B64"/>
    <w:rsid w:val="00BE5F0C"/>
    <w:rsid w:val="00BE72FF"/>
    <w:rsid w:val="00C00017"/>
    <w:rsid w:val="00C00600"/>
    <w:rsid w:val="00C01E7D"/>
    <w:rsid w:val="00C03D2C"/>
    <w:rsid w:val="00C077D3"/>
    <w:rsid w:val="00C1253B"/>
    <w:rsid w:val="00C16939"/>
    <w:rsid w:val="00C205F8"/>
    <w:rsid w:val="00C20663"/>
    <w:rsid w:val="00C21D70"/>
    <w:rsid w:val="00C2505F"/>
    <w:rsid w:val="00C25942"/>
    <w:rsid w:val="00C27BF4"/>
    <w:rsid w:val="00C330C4"/>
    <w:rsid w:val="00C3435E"/>
    <w:rsid w:val="00C37E63"/>
    <w:rsid w:val="00C405F3"/>
    <w:rsid w:val="00C456D8"/>
    <w:rsid w:val="00C46410"/>
    <w:rsid w:val="00C47077"/>
    <w:rsid w:val="00C474F7"/>
    <w:rsid w:val="00C47EC3"/>
    <w:rsid w:val="00C53189"/>
    <w:rsid w:val="00C54155"/>
    <w:rsid w:val="00C56EA5"/>
    <w:rsid w:val="00C60F5E"/>
    <w:rsid w:val="00C61134"/>
    <w:rsid w:val="00C6137B"/>
    <w:rsid w:val="00C61A88"/>
    <w:rsid w:val="00C62274"/>
    <w:rsid w:val="00C6384A"/>
    <w:rsid w:val="00C64994"/>
    <w:rsid w:val="00C659D3"/>
    <w:rsid w:val="00C66F12"/>
    <w:rsid w:val="00C67ABD"/>
    <w:rsid w:val="00C67F1D"/>
    <w:rsid w:val="00C71460"/>
    <w:rsid w:val="00C73489"/>
    <w:rsid w:val="00C749E5"/>
    <w:rsid w:val="00C74A2D"/>
    <w:rsid w:val="00C74DDB"/>
    <w:rsid w:val="00C75BEF"/>
    <w:rsid w:val="00C7621E"/>
    <w:rsid w:val="00C76EB0"/>
    <w:rsid w:val="00C77280"/>
    <w:rsid w:val="00C77A0B"/>
    <w:rsid w:val="00C77B9D"/>
    <w:rsid w:val="00C77D52"/>
    <w:rsid w:val="00C77EEC"/>
    <w:rsid w:val="00C818C7"/>
    <w:rsid w:val="00C81970"/>
    <w:rsid w:val="00C83C3A"/>
    <w:rsid w:val="00C83F15"/>
    <w:rsid w:val="00C84018"/>
    <w:rsid w:val="00C87318"/>
    <w:rsid w:val="00C8790E"/>
    <w:rsid w:val="00C9052A"/>
    <w:rsid w:val="00C90EEF"/>
    <w:rsid w:val="00C91F91"/>
    <w:rsid w:val="00C93BF6"/>
    <w:rsid w:val="00C93F1B"/>
    <w:rsid w:val="00C94C04"/>
    <w:rsid w:val="00C968E6"/>
    <w:rsid w:val="00CA10F3"/>
    <w:rsid w:val="00CA170A"/>
    <w:rsid w:val="00CA409F"/>
    <w:rsid w:val="00CA5EB9"/>
    <w:rsid w:val="00CA62CA"/>
    <w:rsid w:val="00CA7739"/>
    <w:rsid w:val="00CA7FCD"/>
    <w:rsid w:val="00CB1405"/>
    <w:rsid w:val="00CB2B33"/>
    <w:rsid w:val="00CB3041"/>
    <w:rsid w:val="00CB3D59"/>
    <w:rsid w:val="00CB4A68"/>
    <w:rsid w:val="00CB53A6"/>
    <w:rsid w:val="00CB5BE5"/>
    <w:rsid w:val="00CB7C38"/>
    <w:rsid w:val="00CB7FEB"/>
    <w:rsid w:val="00CC0673"/>
    <w:rsid w:val="00CC08C0"/>
    <w:rsid w:val="00CC3D4B"/>
    <w:rsid w:val="00CC5B03"/>
    <w:rsid w:val="00CC5F11"/>
    <w:rsid w:val="00CC64CE"/>
    <w:rsid w:val="00CC6F43"/>
    <w:rsid w:val="00CC7EAD"/>
    <w:rsid w:val="00CD07C5"/>
    <w:rsid w:val="00CD315E"/>
    <w:rsid w:val="00CD4F5C"/>
    <w:rsid w:val="00CD5A9A"/>
    <w:rsid w:val="00CD611D"/>
    <w:rsid w:val="00CE007A"/>
    <w:rsid w:val="00CE1C99"/>
    <w:rsid w:val="00CE44AE"/>
    <w:rsid w:val="00CE4B44"/>
    <w:rsid w:val="00CE7476"/>
    <w:rsid w:val="00CF1908"/>
    <w:rsid w:val="00CF356A"/>
    <w:rsid w:val="00CF3F43"/>
    <w:rsid w:val="00CF6E0D"/>
    <w:rsid w:val="00CF7DD6"/>
    <w:rsid w:val="00CF7E05"/>
    <w:rsid w:val="00CF7F57"/>
    <w:rsid w:val="00D027EA"/>
    <w:rsid w:val="00D12DB4"/>
    <w:rsid w:val="00D17821"/>
    <w:rsid w:val="00D20930"/>
    <w:rsid w:val="00D21CAE"/>
    <w:rsid w:val="00D226FC"/>
    <w:rsid w:val="00D22CD8"/>
    <w:rsid w:val="00D253FD"/>
    <w:rsid w:val="00D25CC3"/>
    <w:rsid w:val="00D30194"/>
    <w:rsid w:val="00D30CFA"/>
    <w:rsid w:val="00D35AF0"/>
    <w:rsid w:val="00D372D5"/>
    <w:rsid w:val="00D40E64"/>
    <w:rsid w:val="00D42A2A"/>
    <w:rsid w:val="00D42F96"/>
    <w:rsid w:val="00D4498B"/>
    <w:rsid w:val="00D479B2"/>
    <w:rsid w:val="00D47B46"/>
    <w:rsid w:val="00D47FDA"/>
    <w:rsid w:val="00D502DF"/>
    <w:rsid w:val="00D50A4C"/>
    <w:rsid w:val="00D516A5"/>
    <w:rsid w:val="00D52082"/>
    <w:rsid w:val="00D528BA"/>
    <w:rsid w:val="00D53419"/>
    <w:rsid w:val="00D5384E"/>
    <w:rsid w:val="00D54CA1"/>
    <w:rsid w:val="00D5626C"/>
    <w:rsid w:val="00D56BFE"/>
    <w:rsid w:val="00D601DB"/>
    <w:rsid w:val="00D6115B"/>
    <w:rsid w:val="00D63982"/>
    <w:rsid w:val="00D64BCB"/>
    <w:rsid w:val="00D70156"/>
    <w:rsid w:val="00D70ECF"/>
    <w:rsid w:val="00D733E3"/>
    <w:rsid w:val="00D734F7"/>
    <w:rsid w:val="00D75641"/>
    <w:rsid w:val="00D763DB"/>
    <w:rsid w:val="00D77A14"/>
    <w:rsid w:val="00D77B82"/>
    <w:rsid w:val="00D86276"/>
    <w:rsid w:val="00D86388"/>
    <w:rsid w:val="00D87AFD"/>
    <w:rsid w:val="00D87E64"/>
    <w:rsid w:val="00D9010C"/>
    <w:rsid w:val="00D90883"/>
    <w:rsid w:val="00D9490D"/>
    <w:rsid w:val="00D965CB"/>
    <w:rsid w:val="00D970CD"/>
    <w:rsid w:val="00D97170"/>
    <w:rsid w:val="00DA2842"/>
    <w:rsid w:val="00DA4642"/>
    <w:rsid w:val="00DA5336"/>
    <w:rsid w:val="00DA5C12"/>
    <w:rsid w:val="00DA668F"/>
    <w:rsid w:val="00DB1583"/>
    <w:rsid w:val="00DB6072"/>
    <w:rsid w:val="00DB65B8"/>
    <w:rsid w:val="00DB6CA7"/>
    <w:rsid w:val="00DB71C0"/>
    <w:rsid w:val="00DC09C1"/>
    <w:rsid w:val="00DC0FE8"/>
    <w:rsid w:val="00DC2A36"/>
    <w:rsid w:val="00DC2B21"/>
    <w:rsid w:val="00DC2B3F"/>
    <w:rsid w:val="00DC2F18"/>
    <w:rsid w:val="00DC494A"/>
    <w:rsid w:val="00DC5496"/>
    <w:rsid w:val="00DD6892"/>
    <w:rsid w:val="00DD6C9B"/>
    <w:rsid w:val="00DE005A"/>
    <w:rsid w:val="00DE1412"/>
    <w:rsid w:val="00DE2EAE"/>
    <w:rsid w:val="00DE4500"/>
    <w:rsid w:val="00DE54CE"/>
    <w:rsid w:val="00DF14BA"/>
    <w:rsid w:val="00DF69DE"/>
    <w:rsid w:val="00E009D4"/>
    <w:rsid w:val="00E01658"/>
    <w:rsid w:val="00E0386B"/>
    <w:rsid w:val="00E042AE"/>
    <w:rsid w:val="00E04C21"/>
    <w:rsid w:val="00E04EA3"/>
    <w:rsid w:val="00E1317C"/>
    <w:rsid w:val="00E14624"/>
    <w:rsid w:val="00E148A3"/>
    <w:rsid w:val="00E1560F"/>
    <w:rsid w:val="00E165EF"/>
    <w:rsid w:val="00E16AFE"/>
    <w:rsid w:val="00E16D64"/>
    <w:rsid w:val="00E2229D"/>
    <w:rsid w:val="00E225DD"/>
    <w:rsid w:val="00E228FF"/>
    <w:rsid w:val="00E22916"/>
    <w:rsid w:val="00E2572E"/>
    <w:rsid w:val="00E272BC"/>
    <w:rsid w:val="00E27BA1"/>
    <w:rsid w:val="00E27C87"/>
    <w:rsid w:val="00E30EAF"/>
    <w:rsid w:val="00E32C59"/>
    <w:rsid w:val="00E35208"/>
    <w:rsid w:val="00E355D6"/>
    <w:rsid w:val="00E35783"/>
    <w:rsid w:val="00E35F91"/>
    <w:rsid w:val="00E37049"/>
    <w:rsid w:val="00E3738A"/>
    <w:rsid w:val="00E37F83"/>
    <w:rsid w:val="00E402CC"/>
    <w:rsid w:val="00E4187C"/>
    <w:rsid w:val="00E4221F"/>
    <w:rsid w:val="00E45BDD"/>
    <w:rsid w:val="00E5180C"/>
    <w:rsid w:val="00E60722"/>
    <w:rsid w:val="00E60932"/>
    <w:rsid w:val="00E61DA6"/>
    <w:rsid w:val="00E62111"/>
    <w:rsid w:val="00E65A2B"/>
    <w:rsid w:val="00E67C80"/>
    <w:rsid w:val="00E715CB"/>
    <w:rsid w:val="00E71DC0"/>
    <w:rsid w:val="00E73347"/>
    <w:rsid w:val="00E75FB8"/>
    <w:rsid w:val="00E768FC"/>
    <w:rsid w:val="00E818C8"/>
    <w:rsid w:val="00E82850"/>
    <w:rsid w:val="00E839D5"/>
    <w:rsid w:val="00E84AA1"/>
    <w:rsid w:val="00E914D5"/>
    <w:rsid w:val="00E949C5"/>
    <w:rsid w:val="00E950D3"/>
    <w:rsid w:val="00E953C9"/>
    <w:rsid w:val="00E96396"/>
    <w:rsid w:val="00E964C7"/>
    <w:rsid w:val="00E976C2"/>
    <w:rsid w:val="00EA0B1C"/>
    <w:rsid w:val="00EA1976"/>
    <w:rsid w:val="00EA3D08"/>
    <w:rsid w:val="00EA55A6"/>
    <w:rsid w:val="00EA663C"/>
    <w:rsid w:val="00EA66D0"/>
    <w:rsid w:val="00EA71E5"/>
    <w:rsid w:val="00EB10E7"/>
    <w:rsid w:val="00EB16AE"/>
    <w:rsid w:val="00EB269B"/>
    <w:rsid w:val="00EB5C78"/>
    <w:rsid w:val="00EC15E1"/>
    <w:rsid w:val="00EC356E"/>
    <w:rsid w:val="00EC505E"/>
    <w:rsid w:val="00EC5561"/>
    <w:rsid w:val="00EC77EA"/>
    <w:rsid w:val="00EC7B9F"/>
    <w:rsid w:val="00ED07D1"/>
    <w:rsid w:val="00ED179A"/>
    <w:rsid w:val="00ED214B"/>
    <w:rsid w:val="00ED45EF"/>
    <w:rsid w:val="00EE12C1"/>
    <w:rsid w:val="00EE1CBA"/>
    <w:rsid w:val="00EE1CCD"/>
    <w:rsid w:val="00EE311C"/>
    <w:rsid w:val="00EE32B0"/>
    <w:rsid w:val="00EE72BD"/>
    <w:rsid w:val="00EE7DE2"/>
    <w:rsid w:val="00EF0E0D"/>
    <w:rsid w:val="00EF0E48"/>
    <w:rsid w:val="00EF15B6"/>
    <w:rsid w:val="00EF3434"/>
    <w:rsid w:val="00F056B3"/>
    <w:rsid w:val="00F06721"/>
    <w:rsid w:val="00F073BE"/>
    <w:rsid w:val="00F10208"/>
    <w:rsid w:val="00F12359"/>
    <w:rsid w:val="00F128C9"/>
    <w:rsid w:val="00F13760"/>
    <w:rsid w:val="00F152EE"/>
    <w:rsid w:val="00F15EE6"/>
    <w:rsid w:val="00F17DEC"/>
    <w:rsid w:val="00F20CB3"/>
    <w:rsid w:val="00F20F72"/>
    <w:rsid w:val="00F23C10"/>
    <w:rsid w:val="00F24B9D"/>
    <w:rsid w:val="00F24FDD"/>
    <w:rsid w:val="00F25F01"/>
    <w:rsid w:val="00F26C96"/>
    <w:rsid w:val="00F310CA"/>
    <w:rsid w:val="00F31BA6"/>
    <w:rsid w:val="00F3291B"/>
    <w:rsid w:val="00F334B2"/>
    <w:rsid w:val="00F33845"/>
    <w:rsid w:val="00F4139C"/>
    <w:rsid w:val="00F41D9C"/>
    <w:rsid w:val="00F42FB6"/>
    <w:rsid w:val="00F45235"/>
    <w:rsid w:val="00F5145D"/>
    <w:rsid w:val="00F54ECD"/>
    <w:rsid w:val="00F602EB"/>
    <w:rsid w:val="00F606E4"/>
    <w:rsid w:val="00F62222"/>
    <w:rsid w:val="00F65138"/>
    <w:rsid w:val="00F657DA"/>
    <w:rsid w:val="00F66F71"/>
    <w:rsid w:val="00F70F10"/>
    <w:rsid w:val="00F74F08"/>
    <w:rsid w:val="00F76DC3"/>
    <w:rsid w:val="00F86949"/>
    <w:rsid w:val="00F86D25"/>
    <w:rsid w:val="00F87528"/>
    <w:rsid w:val="00F87553"/>
    <w:rsid w:val="00F90390"/>
    <w:rsid w:val="00F90474"/>
    <w:rsid w:val="00F91D34"/>
    <w:rsid w:val="00F94BCD"/>
    <w:rsid w:val="00F96858"/>
    <w:rsid w:val="00F9739A"/>
    <w:rsid w:val="00F97CA7"/>
    <w:rsid w:val="00FA012B"/>
    <w:rsid w:val="00FA0301"/>
    <w:rsid w:val="00FA05EA"/>
    <w:rsid w:val="00FA1855"/>
    <w:rsid w:val="00FA1CCF"/>
    <w:rsid w:val="00FA26CD"/>
    <w:rsid w:val="00FA31FA"/>
    <w:rsid w:val="00FA3397"/>
    <w:rsid w:val="00FA377E"/>
    <w:rsid w:val="00FA46F2"/>
    <w:rsid w:val="00FB0249"/>
    <w:rsid w:val="00FB0741"/>
    <w:rsid w:val="00FB2792"/>
    <w:rsid w:val="00FC1867"/>
    <w:rsid w:val="00FC24EA"/>
    <w:rsid w:val="00FC6B4B"/>
    <w:rsid w:val="00FC6B5D"/>
    <w:rsid w:val="00FC6D7A"/>
    <w:rsid w:val="00FC7F30"/>
    <w:rsid w:val="00FD0E80"/>
    <w:rsid w:val="00FD28B8"/>
    <w:rsid w:val="00FD7962"/>
    <w:rsid w:val="00FD7F27"/>
    <w:rsid w:val="00FE1069"/>
    <w:rsid w:val="00FE4652"/>
    <w:rsid w:val="00FF1789"/>
    <w:rsid w:val="00FF6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5930"/>
  <w15:chartTrackingRefBased/>
  <w15:docId w15:val="{8A929EBD-95A9-40CE-96CA-67829C52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12"/>
    <w:pPr>
      <w:spacing w:after="0" w:line="240" w:lineRule="auto"/>
    </w:pPr>
    <w:rPr>
      <w:kern w:val="0"/>
      <w14:ligatures w14:val="none"/>
    </w:rPr>
  </w:style>
  <w:style w:type="paragraph" w:styleId="Heading1">
    <w:name w:val="heading 1"/>
    <w:basedOn w:val="Normal"/>
    <w:next w:val="Normal"/>
    <w:link w:val="Heading1Char"/>
    <w:uiPriority w:val="9"/>
    <w:qFormat/>
    <w:rsid w:val="00784065"/>
    <w:pPr>
      <w:keepNext/>
      <w:keepLines/>
      <w:spacing w:after="240"/>
      <w:jc w:val="center"/>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784065"/>
    <w:pPr>
      <w:keepNext/>
      <w:keepLines/>
      <w:spacing w:after="240"/>
      <w:outlineLvl w:val="1"/>
    </w:pPr>
    <w:rPr>
      <w:rFonts w:ascii="Arial" w:eastAsiaTheme="majorEastAsia" w:hAnsi="Arial" w:cstheme="majorBidi"/>
      <w:b/>
      <w:sz w:val="28"/>
      <w:szCs w:val="26"/>
      <w:u w:val="single"/>
    </w:rPr>
  </w:style>
  <w:style w:type="paragraph" w:styleId="Heading3">
    <w:name w:val="heading 3"/>
    <w:basedOn w:val="Normal"/>
    <w:next w:val="Normal"/>
    <w:link w:val="Heading3Char"/>
    <w:uiPriority w:val="9"/>
    <w:unhideWhenUsed/>
    <w:qFormat/>
    <w:rsid w:val="00457A82"/>
    <w:pPr>
      <w:keepNext/>
      <w:keepLines/>
      <w:numPr>
        <w:numId w:val="45"/>
      </w:numPr>
      <w:spacing w:after="240"/>
      <w:outlineLvl w:val="2"/>
    </w:pPr>
    <w:rPr>
      <w:rFonts w:ascii="Arial" w:eastAsiaTheme="majorEastAsia" w:hAnsi="Arial"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39"/>
    <w:rPr>
      <w:rFonts w:ascii="Arial" w:eastAsiaTheme="majorEastAsia" w:hAnsi="Arial" w:cstheme="majorBidi"/>
      <w:b/>
      <w:kern w:val="0"/>
      <w:sz w:val="28"/>
      <w:szCs w:val="32"/>
      <w:u w:val="single"/>
      <w14:ligatures w14:val="none"/>
    </w:rPr>
  </w:style>
  <w:style w:type="paragraph" w:styleId="ListParagraph">
    <w:name w:val="List Paragraph"/>
    <w:basedOn w:val="Normal"/>
    <w:uiPriority w:val="34"/>
    <w:qFormat/>
    <w:rsid w:val="00DA5C12"/>
    <w:pPr>
      <w:spacing w:after="160" w:line="252" w:lineRule="auto"/>
      <w:ind w:left="720"/>
      <w:contextualSpacing/>
    </w:pPr>
    <w:rPr>
      <w:rFonts w:ascii="Calibri" w:hAnsi="Calibri" w:cs="Calibri"/>
    </w:rPr>
  </w:style>
  <w:style w:type="paragraph" w:customStyle="1" w:styleId="paragraph">
    <w:name w:val="paragraph"/>
    <w:basedOn w:val="Normal"/>
    <w:rsid w:val="00DA5C1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A5C12"/>
  </w:style>
  <w:style w:type="paragraph" w:styleId="Header">
    <w:name w:val="header"/>
    <w:basedOn w:val="Normal"/>
    <w:link w:val="HeaderChar"/>
    <w:uiPriority w:val="99"/>
    <w:unhideWhenUsed/>
    <w:rsid w:val="00DA5C12"/>
    <w:pPr>
      <w:tabs>
        <w:tab w:val="center" w:pos="4680"/>
        <w:tab w:val="right" w:pos="9360"/>
      </w:tabs>
    </w:pPr>
  </w:style>
  <w:style w:type="character" w:customStyle="1" w:styleId="HeaderChar">
    <w:name w:val="Header Char"/>
    <w:basedOn w:val="DefaultParagraphFont"/>
    <w:link w:val="Header"/>
    <w:uiPriority w:val="99"/>
    <w:rsid w:val="00DA5C12"/>
    <w:rPr>
      <w:kern w:val="0"/>
      <w14:ligatures w14:val="none"/>
    </w:rPr>
  </w:style>
  <w:style w:type="paragraph" w:styleId="Footer">
    <w:name w:val="footer"/>
    <w:basedOn w:val="Normal"/>
    <w:link w:val="FooterChar"/>
    <w:uiPriority w:val="99"/>
    <w:unhideWhenUsed/>
    <w:rsid w:val="00DA5C12"/>
    <w:pPr>
      <w:tabs>
        <w:tab w:val="center" w:pos="4680"/>
        <w:tab w:val="right" w:pos="9360"/>
      </w:tabs>
    </w:pPr>
  </w:style>
  <w:style w:type="character" w:customStyle="1" w:styleId="FooterChar">
    <w:name w:val="Footer Char"/>
    <w:basedOn w:val="DefaultParagraphFont"/>
    <w:link w:val="Footer"/>
    <w:uiPriority w:val="99"/>
    <w:rsid w:val="00DA5C12"/>
    <w:rPr>
      <w:kern w:val="0"/>
      <w14:ligatures w14:val="none"/>
    </w:rPr>
  </w:style>
  <w:style w:type="character" w:customStyle="1" w:styleId="eop">
    <w:name w:val="eop"/>
    <w:basedOn w:val="DefaultParagraphFont"/>
    <w:rsid w:val="00DA5C12"/>
  </w:style>
  <w:style w:type="paragraph" w:customStyle="1" w:styleId="xmsolistparagraph">
    <w:name w:val="x_msolistparagraph"/>
    <w:basedOn w:val="Normal"/>
    <w:rsid w:val="00DA5C12"/>
    <w:pPr>
      <w:ind w:left="720"/>
    </w:pPr>
    <w:rPr>
      <w:rFonts w:ascii="Calibri" w:hAnsi="Calibri" w:cs="Calibri"/>
    </w:rPr>
  </w:style>
  <w:style w:type="character" w:styleId="CommentReference">
    <w:name w:val="annotation reference"/>
    <w:basedOn w:val="DefaultParagraphFont"/>
    <w:uiPriority w:val="99"/>
    <w:semiHidden/>
    <w:unhideWhenUsed/>
    <w:rsid w:val="00DA5C12"/>
    <w:rPr>
      <w:sz w:val="16"/>
      <w:szCs w:val="16"/>
    </w:rPr>
  </w:style>
  <w:style w:type="paragraph" w:styleId="CommentText">
    <w:name w:val="annotation text"/>
    <w:basedOn w:val="Normal"/>
    <w:link w:val="CommentTextChar"/>
    <w:uiPriority w:val="99"/>
    <w:unhideWhenUsed/>
    <w:rsid w:val="00DA5C12"/>
    <w:rPr>
      <w:sz w:val="20"/>
      <w:szCs w:val="20"/>
    </w:rPr>
  </w:style>
  <w:style w:type="character" w:customStyle="1" w:styleId="CommentTextChar">
    <w:name w:val="Comment Text Char"/>
    <w:basedOn w:val="DefaultParagraphFont"/>
    <w:link w:val="CommentText"/>
    <w:uiPriority w:val="99"/>
    <w:rsid w:val="00DA5C12"/>
    <w:rPr>
      <w:kern w:val="0"/>
      <w:sz w:val="20"/>
      <w:szCs w:val="20"/>
      <w14:ligatures w14:val="none"/>
    </w:rPr>
  </w:style>
  <w:style w:type="character" w:customStyle="1" w:styleId="xnormaltextrun">
    <w:name w:val="x_normaltextrun"/>
    <w:basedOn w:val="DefaultParagraphFont"/>
    <w:rsid w:val="00DA5C12"/>
  </w:style>
  <w:style w:type="paragraph" w:styleId="CommentSubject">
    <w:name w:val="annotation subject"/>
    <w:basedOn w:val="CommentText"/>
    <w:next w:val="CommentText"/>
    <w:link w:val="CommentSubjectChar"/>
    <w:uiPriority w:val="99"/>
    <w:semiHidden/>
    <w:unhideWhenUsed/>
    <w:rsid w:val="00DA5C12"/>
    <w:rPr>
      <w:b/>
      <w:bCs/>
    </w:rPr>
  </w:style>
  <w:style w:type="character" w:customStyle="1" w:styleId="CommentSubjectChar">
    <w:name w:val="Comment Subject Char"/>
    <w:basedOn w:val="CommentTextChar"/>
    <w:link w:val="CommentSubject"/>
    <w:uiPriority w:val="99"/>
    <w:semiHidden/>
    <w:rsid w:val="00DA5C12"/>
    <w:rPr>
      <w:b/>
      <w:bCs/>
      <w:kern w:val="0"/>
      <w:sz w:val="20"/>
      <w:szCs w:val="20"/>
      <w14:ligatures w14:val="none"/>
    </w:rPr>
  </w:style>
  <w:style w:type="paragraph" w:styleId="FootnoteText">
    <w:name w:val="footnote text"/>
    <w:basedOn w:val="Normal"/>
    <w:link w:val="FootnoteTextChar"/>
    <w:uiPriority w:val="99"/>
    <w:semiHidden/>
    <w:unhideWhenUsed/>
    <w:rsid w:val="00DA5C12"/>
    <w:rPr>
      <w:sz w:val="20"/>
      <w:szCs w:val="20"/>
    </w:rPr>
  </w:style>
  <w:style w:type="character" w:customStyle="1" w:styleId="FootnoteTextChar">
    <w:name w:val="Footnote Text Char"/>
    <w:basedOn w:val="DefaultParagraphFont"/>
    <w:link w:val="FootnoteText"/>
    <w:uiPriority w:val="99"/>
    <w:semiHidden/>
    <w:rsid w:val="00DA5C12"/>
    <w:rPr>
      <w:kern w:val="0"/>
      <w:sz w:val="20"/>
      <w:szCs w:val="20"/>
      <w14:ligatures w14:val="none"/>
    </w:rPr>
  </w:style>
  <w:style w:type="character" w:styleId="FootnoteReference">
    <w:name w:val="footnote reference"/>
    <w:basedOn w:val="DefaultParagraphFont"/>
    <w:uiPriority w:val="99"/>
    <w:semiHidden/>
    <w:unhideWhenUsed/>
    <w:rsid w:val="00DA5C12"/>
    <w:rPr>
      <w:vertAlign w:val="superscript"/>
    </w:rPr>
  </w:style>
  <w:style w:type="character" w:customStyle="1" w:styleId="cf01">
    <w:name w:val="cf01"/>
    <w:basedOn w:val="DefaultParagraphFont"/>
    <w:rsid w:val="00DA5C12"/>
    <w:rPr>
      <w:rFonts w:ascii="Segoe UI" w:hAnsi="Segoe UI" w:cs="Segoe UI" w:hint="default"/>
      <w:sz w:val="18"/>
      <w:szCs w:val="18"/>
    </w:rPr>
  </w:style>
  <w:style w:type="paragraph" w:customStyle="1" w:styleId="xmsonormal">
    <w:name w:val="x_msonormal"/>
    <w:basedOn w:val="Normal"/>
    <w:rsid w:val="00DA5C12"/>
    <w:rPr>
      <w:rFonts w:ascii="Calibri" w:hAnsi="Calibri" w:cs="Calibri"/>
    </w:rPr>
  </w:style>
  <w:style w:type="paragraph" w:customStyle="1" w:styleId="Default">
    <w:name w:val="Default"/>
    <w:rsid w:val="00DA5C12"/>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DA5C12"/>
    <w:pPr>
      <w:spacing w:after="0" w:line="240" w:lineRule="auto"/>
    </w:pPr>
    <w:rPr>
      <w:kern w:val="0"/>
      <w14:ligatures w14:val="none"/>
    </w:rPr>
  </w:style>
  <w:style w:type="character" w:customStyle="1" w:styleId="contextualspellingandgrammarerror">
    <w:name w:val="contextualspellingandgrammarerror"/>
    <w:basedOn w:val="DefaultParagraphFont"/>
    <w:rsid w:val="00DA5C12"/>
  </w:style>
  <w:style w:type="character" w:styleId="Mention">
    <w:name w:val="Mention"/>
    <w:basedOn w:val="DefaultParagraphFont"/>
    <w:uiPriority w:val="99"/>
    <w:unhideWhenUsed/>
    <w:rsid w:val="00DA5C12"/>
    <w:rPr>
      <w:color w:val="2B579A"/>
      <w:shd w:val="clear" w:color="auto" w:fill="E1DFDD"/>
    </w:rPr>
  </w:style>
  <w:style w:type="character" w:customStyle="1" w:styleId="xxnormaltextrun">
    <w:name w:val="x_xnormaltextrun"/>
    <w:basedOn w:val="DefaultParagraphFont"/>
    <w:rsid w:val="00DA5C12"/>
  </w:style>
  <w:style w:type="character" w:styleId="Hyperlink">
    <w:name w:val="Hyperlink"/>
    <w:basedOn w:val="DefaultParagraphFont"/>
    <w:uiPriority w:val="99"/>
    <w:unhideWhenUsed/>
    <w:rsid w:val="00DA5C12"/>
    <w:rPr>
      <w:color w:val="0563C1" w:themeColor="hyperlink"/>
      <w:u w:val="single"/>
    </w:rPr>
  </w:style>
  <w:style w:type="character" w:styleId="UnresolvedMention">
    <w:name w:val="Unresolved Mention"/>
    <w:basedOn w:val="DefaultParagraphFont"/>
    <w:uiPriority w:val="99"/>
    <w:semiHidden/>
    <w:unhideWhenUsed/>
    <w:rsid w:val="00DA5C12"/>
    <w:rPr>
      <w:color w:val="605E5C"/>
      <w:shd w:val="clear" w:color="auto" w:fill="E1DFDD"/>
    </w:rPr>
  </w:style>
  <w:style w:type="paragraph" w:customStyle="1" w:styleId="pf0">
    <w:name w:val="pf0"/>
    <w:basedOn w:val="Normal"/>
    <w:rsid w:val="00DA5C12"/>
    <w:pPr>
      <w:spacing w:before="100" w:beforeAutospacing="1" w:after="100" w:afterAutospacing="1"/>
      <w:ind w:left="1080"/>
    </w:pPr>
    <w:rPr>
      <w:rFonts w:ascii="Times New Roman" w:eastAsia="Times New Roman" w:hAnsi="Times New Roman" w:cs="Times New Roman"/>
      <w:sz w:val="24"/>
      <w:szCs w:val="24"/>
    </w:rPr>
  </w:style>
  <w:style w:type="paragraph" w:customStyle="1" w:styleId="pf1">
    <w:name w:val="pf1"/>
    <w:basedOn w:val="Normal"/>
    <w:rsid w:val="00DA5C12"/>
    <w:pPr>
      <w:spacing w:before="100" w:beforeAutospacing="1" w:after="100" w:afterAutospacing="1"/>
      <w:ind w:left="1080"/>
    </w:pPr>
    <w:rPr>
      <w:rFonts w:ascii="Times New Roman" w:eastAsia="Times New Roman" w:hAnsi="Times New Roman" w:cs="Times New Roman"/>
      <w:sz w:val="24"/>
      <w:szCs w:val="24"/>
    </w:rPr>
  </w:style>
  <w:style w:type="character" w:customStyle="1" w:styleId="cf11">
    <w:name w:val="cf11"/>
    <w:basedOn w:val="DefaultParagraphFont"/>
    <w:rsid w:val="00DA5C12"/>
    <w:rPr>
      <w:rFonts w:ascii="Segoe UI" w:hAnsi="Segoe UI" w:cs="Segoe UI" w:hint="default"/>
      <w:sz w:val="18"/>
      <w:szCs w:val="18"/>
    </w:rPr>
  </w:style>
  <w:style w:type="character" w:customStyle="1" w:styleId="cf21">
    <w:name w:val="cf21"/>
    <w:basedOn w:val="DefaultParagraphFont"/>
    <w:rsid w:val="00DA5C12"/>
    <w:rPr>
      <w:rFonts w:ascii="Segoe UI" w:hAnsi="Segoe UI" w:cs="Segoe UI" w:hint="default"/>
      <w:i/>
      <w:iCs/>
      <w:sz w:val="18"/>
      <w:szCs w:val="18"/>
    </w:rPr>
  </w:style>
  <w:style w:type="character" w:customStyle="1" w:styleId="advancedproofingissue">
    <w:name w:val="advancedproofingissue"/>
    <w:basedOn w:val="DefaultParagraphFont"/>
    <w:rsid w:val="00DA5C12"/>
  </w:style>
  <w:style w:type="character" w:styleId="FollowedHyperlink">
    <w:name w:val="FollowedHyperlink"/>
    <w:basedOn w:val="DefaultParagraphFont"/>
    <w:uiPriority w:val="99"/>
    <w:semiHidden/>
    <w:unhideWhenUsed/>
    <w:rsid w:val="00DA5C12"/>
    <w:rPr>
      <w:color w:val="954F72" w:themeColor="followedHyperlink"/>
      <w:u w:val="single"/>
    </w:rPr>
  </w:style>
  <w:style w:type="character" w:customStyle="1" w:styleId="ui-provider">
    <w:name w:val="ui-provider"/>
    <w:basedOn w:val="DefaultParagraphFont"/>
    <w:rsid w:val="00DA5C12"/>
  </w:style>
  <w:style w:type="paragraph" w:customStyle="1" w:styleId="Accessibility">
    <w:name w:val="Accessibility"/>
    <w:basedOn w:val="Heading1"/>
    <w:rsid w:val="00DA5C12"/>
    <w:pPr>
      <w:numPr>
        <w:numId w:val="6"/>
      </w:numPr>
      <w:tabs>
        <w:tab w:val="left" w:pos="7830"/>
      </w:tabs>
      <w:ind w:left="720"/>
    </w:pPr>
    <w:rPr>
      <w:rFonts w:cs="Arial"/>
      <w:b w:val="0"/>
      <w:szCs w:val="28"/>
    </w:rPr>
  </w:style>
  <w:style w:type="character" w:customStyle="1" w:styleId="Heading2Char">
    <w:name w:val="Heading 2 Char"/>
    <w:basedOn w:val="DefaultParagraphFont"/>
    <w:link w:val="Heading2"/>
    <w:uiPriority w:val="9"/>
    <w:rsid w:val="00C16939"/>
    <w:rPr>
      <w:rFonts w:ascii="Arial" w:eastAsiaTheme="majorEastAsia" w:hAnsi="Arial" w:cstheme="majorBidi"/>
      <w:b/>
      <w:kern w:val="0"/>
      <w:sz w:val="28"/>
      <w:szCs w:val="26"/>
      <w:u w:val="single"/>
      <w14:ligatures w14:val="none"/>
    </w:rPr>
  </w:style>
  <w:style w:type="character" w:customStyle="1" w:styleId="Heading3Char">
    <w:name w:val="Heading 3 Char"/>
    <w:basedOn w:val="DefaultParagraphFont"/>
    <w:link w:val="Heading3"/>
    <w:uiPriority w:val="9"/>
    <w:rsid w:val="00457A82"/>
    <w:rPr>
      <w:rFonts w:ascii="Arial" w:eastAsiaTheme="majorEastAsia" w:hAnsi="Arial" w:cstheme="majorBidi"/>
      <w:b/>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88581">
      <w:bodyDiv w:val="1"/>
      <w:marLeft w:val="0"/>
      <w:marRight w:val="0"/>
      <w:marTop w:val="0"/>
      <w:marBottom w:val="0"/>
      <w:divBdr>
        <w:top w:val="none" w:sz="0" w:space="0" w:color="auto"/>
        <w:left w:val="none" w:sz="0" w:space="0" w:color="auto"/>
        <w:bottom w:val="none" w:sz="0" w:space="0" w:color="auto"/>
        <w:right w:val="none" w:sz="0" w:space="0" w:color="auto"/>
      </w:divBdr>
    </w:div>
    <w:div w:id="11780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m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Link/Document/FullText?findType=L&amp;pubNum=1000547&amp;cite=29CFRS2590.712&amp;originatingDoc=I6C886820B56411EEB590FF4B157C4E61&amp;refType=LQ&amp;originationContext=document&amp;transitionType=DocumentItem&amp;ppcid=cd618f34ed0548d3b8713facaa616aa7&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FA099B7D-1C4D-49FC-BEE6-FC6EB6CCFA69}">
  <ds:schemaRefs>
    <ds:schemaRef ds:uri="http://schemas.microsoft.com/sharepoint/v3/contenttype/forms"/>
  </ds:schemaRefs>
</ds:datastoreItem>
</file>

<file path=customXml/itemProps2.xml><?xml version="1.0" encoding="utf-8"?>
<ds:datastoreItem xmlns:ds="http://schemas.openxmlformats.org/officeDocument/2006/customXml" ds:itemID="{0E3DC62E-0027-4456-B7DC-B8C22209E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85B31-04E3-4DDD-8F51-007FDB95D423}">
  <ds:schemaRefs>
    <ds:schemaRef ds:uri="http://schemas.openxmlformats.org/officeDocument/2006/bibliography"/>
  </ds:schemaRefs>
</ds:datastoreItem>
</file>

<file path=customXml/itemProps4.xml><?xml version="1.0" encoding="utf-8"?>
<ds:datastoreItem xmlns:ds="http://schemas.openxmlformats.org/officeDocument/2006/customXml" ds:itemID="{DB156176-A5BB-4CB9-91F2-2C37787BFF45}">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3953</Words>
  <Characters>22536</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Specialist_Physician_Ratio_StandardsandMethodology_RY2025</vt:lpstr>
    </vt:vector>
  </TitlesOfParts>
  <Company/>
  <LinksUpToDate>false</LinksUpToDate>
  <CharactersWithSpaces>26437</CharactersWithSpaces>
  <SharedDoc>false</SharedDoc>
  <HLinks>
    <vt:vector size="18" baseType="variant">
      <vt:variant>
        <vt:i4>2752636</vt:i4>
      </vt:variant>
      <vt:variant>
        <vt:i4>3</vt:i4>
      </vt:variant>
      <vt:variant>
        <vt:i4>0</vt:i4>
      </vt:variant>
      <vt:variant>
        <vt:i4>5</vt:i4>
      </vt:variant>
      <vt:variant>
        <vt:lpwstr>http://www.cms.gov/</vt:lpwstr>
      </vt:variant>
      <vt:variant>
        <vt:lpwstr/>
      </vt:variant>
      <vt:variant>
        <vt:i4>2752636</vt:i4>
      </vt:variant>
      <vt:variant>
        <vt:i4>0</vt:i4>
      </vt:variant>
      <vt:variant>
        <vt:i4>0</vt:i4>
      </vt:variant>
      <vt:variant>
        <vt:i4>5</vt:i4>
      </vt:variant>
      <vt:variant>
        <vt:lpwstr>http://www.cms.gov/</vt:lpwstr>
      </vt:variant>
      <vt:variant>
        <vt:lpwstr/>
      </vt:variant>
      <vt:variant>
        <vt:i4>2097188</vt:i4>
      </vt:variant>
      <vt:variant>
        <vt:i4>0</vt:i4>
      </vt:variant>
      <vt:variant>
        <vt:i4>0</vt:i4>
      </vt:variant>
      <vt:variant>
        <vt:i4>5</vt:i4>
      </vt:variant>
      <vt:variant>
        <vt:lpwstr>https://1.next.westlaw.com/Link/Document/FullText?findType=L&amp;pubNum=1000547&amp;cite=29CFRS2590.712&amp;originatingDoc=I6C886820B56411EEB590FF4B157C4E61&amp;refType=LQ&amp;originationContext=document&amp;transitionType=DocumentItem&amp;ppcid=cd618f34ed0548d3b8713facaa616aa7&amp;contextData=(sc.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Specialist_Physician_Ratio_StandardsandMethodology_RY2025</dc:title>
  <dc:subject/>
  <dc:creator/>
  <cp:keywords/>
  <dc:description/>
  <cp:lastModifiedBy>Lopez1, Greg@DMHC</cp:lastModifiedBy>
  <cp:revision>8</cp:revision>
  <dcterms:created xsi:type="dcterms:W3CDTF">2024-06-13T23:08:00Z</dcterms:created>
  <dcterms:modified xsi:type="dcterms:W3CDTF">2024-12-04T15:43:00Z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eb87ac7b9fb1c50625dcbfaecce551bf62c26cb6eb3c0945842bc0c1841e1ba2</vt:lpwstr>
  </property>
</Properties>
</file>