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B97C" w14:textId="00531E49" w:rsidR="00C662AE" w:rsidRPr="002F0DCC" w:rsidRDefault="00C662AE" w:rsidP="00583120">
      <w:pPr>
        <w:pStyle w:val="Heading1"/>
      </w:pPr>
      <w:r w:rsidRPr="002F0DCC">
        <w:t>Schedule A</w:t>
      </w:r>
    </w:p>
    <w:p w14:paraId="403CB532" w14:textId="32998D62" w:rsidR="00C662AE" w:rsidRDefault="00C662AE" w:rsidP="00583120">
      <w:pPr>
        <w:jc w:val="center"/>
        <w:rPr>
          <w:rFonts w:ascii="Arial" w:hAnsi="Arial" w:cs="Arial"/>
          <w:b/>
          <w:bCs/>
          <w:sz w:val="28"/>
          <w:szCs w:val="28"/>
        </w:rPr>
      </w:pPr>
      <w:r w:rsidRPr="00580058">
        <w:rPr>
          <w:rFonts w:ascii="Arial" w:hAnsi="Arial" w:cs="Arial"/>
          <w:b/>
          <w:bCs/>
          <w:sz w:val="28"/>
          <w:szCs w:val="28"/>
        </w:rPr>
        <w:t>FTE Starting Values and FTE Starting Value Adjustments</w:t>
      </w:r>
    </w:p>
    <w:p w14:paraId="74000F42" w14:textId="7B8321AB" w:rsidR="00C662AE" w:rsidRPr="0097271B" w:rsidRDefault="00C662AE" w:rsidP="00583120">
      <w:pPr>
        <w:spacing w:before="240" w:after="240"/>
        <w:rPr>
          <w:rFonts w:ascii="Arial" w:hAnsi="Arial" w:cs="Arial"/>
        </w:rPr>
      </w:pPr>
      <w:r w:rsidRPr="0097271B">
        <w:rPr>
          <w:rFonts w:ascii="Arial" w:hAnsi="Arial" w:cs="Arial"/>
        </w:rPr>
        <w:t xml:space="preserve">Each </w:t>
      </w:r>
      <w:r w:rsidR="00E63F72" w:rsidRPr="0097271B">
        <w:rPr>
          <w:rFonts w:ascii="Arial" w:hAnsi="Arial" w:cs="Arial"/>
        </w:rPr>
        <w:t>counseling non-physician mental health professional (</w:t>
      </w:r>
      <w:r w:rsidR="00DC3549" w:rsidRPr="0097271B">
        <w:rPr>
          <w:rFonts w:ascii="Arial" w:hAnsi="Arial" w:cs="Arial"/>
        </w:rPr>
        <w:t>C</w:t>
      </w:r>
      <w:r w:rsidRPr="0097271B">
        <w:rPr>
          <w:rFonts w:ascii="Arial" w:hAnsi="Arial" w:cs="Arial"/>
        </w:rPr>
        <w:t>ounseling MHP</w:t>
      </w:r>
      <w:r w:rsidR="00E63F72" w:rsidRPr="0097271B">
        <w:rPr>
          <w:rFonts w:ascii="Arial" w:hAnsi="Arial" w:cs="Arial"/>
        </w:rPr>
        <w:t>)</w:t>
      </w:r>
      <w:r w:rsidRPr="0097271B">
        <w:rPr>
          <w:rFonts w:ascii="Arial" w:hAnsi="Arial" w:cs="Arial"/>
        </w:rPr>
        <w:t xml:space="preserve"> that offers in-person appointments on an outpatient basis, as defined, will be assigned a full-time equivalency (FTE) value based on the county type and the FTE Starting Value and the FTE Starting Value Adjustments set forth in the ratio standard. These adjustments are calculated according to </w:t>
      </w:r>
      <w:r w:rsidRPr="0097271B">
        <w:rPr>
          <w:rFonts w:ascii="Arial" w:hAnsi="Arial" w:cs="Arial"/>
          <w:b/>
        </w:rPr>
        <w:t>Table A</w:t>
      </w:r>
      <w:r w:rsidRPr="0097271B">
        <w:rPr>
          <w:rFonts w:ascii="Arial" w:hAnsi="Arial" w:cs="Arial"/>
        </w:rPr>
        <w:t xml:space="preserve"> below.</w:t>
      </w:r>
    </w:p>
    <w:p w14:paraId="41565DD9" w14:textId="77777777" w:rsidR="00C662AE" w:rsidRPr="0097271B" w:rsidRDefault="00C662AE" w:rsidP="00583120">
      <w:pPr>
        <w:spacing w:after="240"/>
        <w:rPr>
          <w:rFonts w:ascii="Arial" w:hAnsi="Arial" w:cs="Arial"/>
        </w:rPr>
      </w:pPr>
      <w:r w:rsidRPr="0097271B">
        <w:rPr>
          <w:rFonts w:ascii="Arial" w:hAnsi="Arial" w:cs="Arial"/>
          <w:b/>
        </w:rPr>
        <w:t xml:space="preserve">FTE Starting Values: </w:t>
      </w:r>
      <w:r w:rsidRPr="0097271B">
        <w:rPr>
          <w:rFonts w:ascii="Arial" w:hAnsi="Arial" w:cs="Arial"/>
          <w:bCs/>
        </w:rPr>
        <w:t>FTE Starting Values by county type are set forth in Table A.</w:t>
      </w:r>
    </w:p>
    <w:p w14:paraId="295B25E0" w14:textId="7C928BB8" w:rsidR="00C662AE" w:rsidRPr="0097271B" w:rsidRDefault="00C662AE" w:rsidP="00583120">
      <w:pPr>
        <w:spacing w:after="240"/>
        <w:rPr>
          <w:rFonts w:ascii="Arial" w:hAnsi="Arial" w:cs="Arial"/>
          <w:bCs/>
        </w:rPr>
      </w:pPr>
      <w:r w:rsidRPr="0097271B">
        <w:rPr>
          <w:rFonts w:ascii="Arial" w:hAnsi="Arial" w:cs="Arial"/>
          <w:bCs/>
        </w:rPr>
        <w:t xml:space="preserve">FTE Starting values are assigned based on the typical number of licensed networks a </w:t>
      </w:r>
      <w:r w:rsidR="003656CC" w:rsidRPr="0097271B">
        <w:rPr>
          <w:rFonts w:ascii="Arial" w:hAnsi="Arial" w:cs="Arial"/>
          <w:bCs/>
        </w:rPr>
        <w:t>C</w:t>
      </w:r>
      <w:r w:rsidRPr="0097271B">
        <w:rPr>
          <w:rFonts w:ascii="Arial" w:hAnsi="Arial" w:cs="Arial"/>
          <w:bCs/>
        </w:rPr>
        <w:t xml:space="preserve">ounseling MHP contracts with, by county type, based </w:t>
      </w:r>
      <w:r w:rsidRPr="0097271B">
        <w:rPr>
          <w:rFonts w:ascii="Arial" w:hAnsi="Arial" w:cs="Arial"/>
        </w:rPr>
        <w:t>on previous annual network submissions, as follows</w:t>
      </w:r>
      <w:r w:rsidRPr="0097271B">
        <w:rPr>
          <w:rFonts w:ascii="Arial" w:hAnsi="Arial" w:cs="Arial"/>
          <w:bCs/>
        </w:rPr>
        <w:t>:</w:t>
      </w:r>
    </w:p>
    <w:p w14:paraId="28C8C643" w14:textId="77777777" w:rsidR="00C662AE" w:rsidRPr="0097271B" w:rsidRDefault="00C662AE" w:rsidP="00583120">
      <w:pPr>
        <w:pStyle w:val="ListParagraph"/>
        <w:numPr>
          <w:ilvl w:val="2"/>
          <w:numId w:val="13"/>
        </w:numPr>
        <w:spacing w:after="160"/>
        <w:rPr>
          <w:rFonts w:ascii="Arial" w:hAnsi="Arial" w:cs="Arial"/>
        </w:rPr>
      </w:pPr>
      <w:r w:rsidRPr="0097271B">
        <w:rPr>
          <w:rFonts w:ascii="Arial" w:hAnsi="Arial" w:cs="Arial"/>
        </w:rPr>
        <w:t>Large Metro counties – 17 networks</w:t>
      </w:r>
    </w:p>
    <w:p w14:paraId="396AC18C" w14:textId="77777777" w:rsidR="00C662AE" w:rsidRPr="0097271B" w:rsidRDefault="00C662AE" w:rsidP="00583120">
      <w:pPr>
        <w:pStyle w:val="ListParagraph"/>
        <w:numPr>
          <w:ilvl w:val="2"/>
          <w:numId w:val="13"/>
        </w:numPr>
        <w:spacing w:after="160"/>
        <w:rPr>
          <w:rFonts w:ascii="Arial" w:hAnsi="Arial" w:cs="Arial"/>
        </w:rPr>
      </w:pPr>
      <w:r w:rsidRPr="0097271B">
        <w:rPr>
          <w:rFonts w:ascii="Arial" w:hAnsi="Arial" w:cs="Arial"/>
        </w:rPr>
        <w:t>Metro counties – 14 networks</w:t>
      </w:r>
    </w:p>
    <w:p w14:paraId="4F8FDD18" w14:textId="77777777" w:rsidR="00C662AE" w:rsidRPr="0097271B" w:rsidRDefault="00C662AE" w:rsidP="00583120">
      <w:pPr>
        <w:pStyle w:val="ListParagraph"/>
        <w:numPr>
          <w:ilvl w:val="2"/>
          <w:numId w:val="13"/>
        </w:numPr>
        <w:spacing w:after="160"/>
        <w:rPr>
          <w:rFonts w:ascii="Arial" w:hAnsi="Arial" w:cs="Arial"/>
        </w:rPr>
      </w:pPr>
      <w:r w:rsidRPr="0097271B">
        <w:rPr>
          <w:rFonts w:ascii="Arial" w:hAnsi="Arial" w:cs="Arial"/>
        </w:rPr>
        <w:t>Micro counties – 7 networks</w:t>
      </w:r>
    </w:p>
    <w:p w14:paraId="5D21B543" w14:textId="77777777" w:rsidR="00C662AE" w:rsidRPr="0097271B" w:rsidRDefault="00C662AE" w:rsidP="00583120">
      <w:pPr>
        <w:pStyle w:val="ListParagraph"/>
        <w:numPr>
          <w:ilvl w:val="2"/>
          <w:numId w:val="13"/>
        </w:numPr>
        <w:spacing w:after="160"/>
        <w:rPr>
          <w:rFonts w:ascii="Arial" w:hAnsi="Arial" w:cs="Arial"/>
        </w:rPr>
      </w:pPr>
      <w:r w:rsidRPr="0097271B">
        <w:rPr>
          <w:rFonts w:ascii="Arial" w:hAnsi="Arial" w:cs="Arial"/>
        </w:rPr>
        <w:t>Rural counties – 5 networks</w:t>
      </w:r>
    </w:p>
    <w:p w14:paraId="7133B97B" w14:textId="77777777" w:rsidR="00C662AE" w:rsidRPr="0097271B" w:rsidRDefault="00C662AE" w:rsidP="00583120">
      <w:pPr>
        <w:pStyle w:val="ListParagraph"/>
        <w:numPr>
          <w:ilvl w:val="2"/>
          <w:numId w:val="13"/>
        </w:numPr>
        <w:spacing w:after="240"/>
        <w:ind w:left="2174" w:hanging="187"/>
        <w:rPr>
          <w:rFonts w:ascii="Arial" w:hAnsi="Arial" w:cs="Arial"/>
        </w:rPr>
      </w:pPr>
      <w:r w:rsidRPr="0097271B">
        <w:rPr>
          <w:rFonts w:ascii="Arial" w:hAnsi="Arial" w:cs="Arial"/>
        </w:rPr>
        <w:t>CEAC counties – 5 networks</w:t>
      </w:r>
    </w:p>
    <w:p w14:paraId="685FA455" w14:textId="77777777" w:rsidR="00C662AE" w:rsidRPr="0097271B" w:rsidRDefault="00C662AE" w:rsidP="00583120">
      <w:pPr>
        <w:spacing w:after="240"/>
        <w:rPr>
          <w:rFonts w:ascii="Arial" w:hAnsi="Arial" w:cs="Arial"/>
          <w:b/>
          <w:bCs/>
        </w:rPr>
      </w:pPr>
      <w:r w:rsidRPr="0097271B">
        <w:rPr>
          <w:rFonts w:ascii="Arial" w:hAnsi="Arial" w:cs="Arial"/>
          <w:b/>
          <w:bCs/>
        </w:rPr>
        <w:t>FTE Starting Value Adjustments:</w:t>
      </w:r>
    </w:p>
    <w:p w14:paraId="38304C70" w14:textId="4A398177" w:rsidR="00C662AE" w:rsidRPr="0097271B" w:rsidRDefault="00C662AE" w:rsidP="00583120">
      <w:pPr>
        <w:pStyle w:val="ListParagraph"/>
        <w:numPr>
          <w:ilvl w:val="0"/>
          <w:numId w:val="11"/>
        </w:numPr>
        <w:spacing w:after="240"/>
        <w:contextualSpacing w:val="0"/>
        <w:rPr>
          <w:rFonts w:ascii="Arial" w:hAnsi="Arial" w:cs="Arial"/>
          <w:bCs/>
        </w:rPr>
      </w:pPr>
      <w:r w:rsidRPr="0097271B">
        <w:rPr>
          <w:rFonts w:ascii="Arial" w:hAnsi="Arial" w:cs="Arial"/>
          <w:bCs/>
        </w:rPr>
        <w:t xml:space="preserve">The FTE Starting Value for a </w:t>
      </w:r>
      <w:r w:rsidR="003656CC" w:rsidRPr="0097271B">
        <w:rPr>
          <w:rFonts w:ascii="Arial" w:hAnsi="Arial" w:cs="Arial"/>
          <w:bCs/>
        </w:rPr>
        <w:t>C</w:t>
      </w:r>
      <w:r w:rsidRPr="0097271B">
        <w:rPr>
          <w:rFonts w:ascii="Arial" w:hAnsi="Arial" w:cs="Arial"/>
          <w:bCs/>
        </w:rPr>
        <w:t>ounseling MHP shall be adjusted for the following factors, as set forth in the ratio standard:</w:t>
      </w:r>
    </w:p>
    <w:p w14:paraId="2FF12C52" w14:textId="77777777" w:rsidR="00C662AE" w:rsidRPr="0097271B" w:rsidRDefault="00C662AE" w:rsidP="00583120">
      <w:pPr>
        <w:pStyle w:val="ListParagraph"/>
        <w:numPr>
          <w:ilvl w:val="1"/>
          <w:numId w:val="11"/>
        </w:numPr>
        <w:contextualSpacing w:val="0"/>
        <w:rPr>
          <w:rFonts w:ascii="Arial" w:hAnsi="Arial" w:cs="Arial"/>
          <w:bCs/>
        </w:rPr>
      </w:pPr>
      <w:r w:rsidRPr="0097271B">
        <w:rPr>
          <w:rFonts w:ascii="Arial" w:hAnsi="Arial" w:cs="Arial"/>
          <w:bCs/>
        </w:rPr>
        <w:t>Full-Time/Part-Time</w:t>
      </w:r>
    </w:p>
    <w:p w14:paraId="523E1224" w14:textId="77777777" w:rsidR="00C662AE" w:rsidRPr="0097271B" w:rsidRDefault="00C662AE" w:rsidP="00583120">
      <w:pPr>
        <w:pStyle w:val="ListParagraph"/>
        <w:numPr>
          <w:ilvl w:val="1"/>
          <w:numId w:val="11"/>
        </w:numPr>
        <w:contextualSpacing w:val="0"/>
        <w:rPr>
          <w:rFonts w:ascii="Arial" w:hAnsi="Arial" w:cs="Arial"/>
        </w:rPr>
      </w:pPr>
      <w:r w:rsidRPr="0097271B">
        <w:rPr>
          <w:rFonts w:ascii="Arial" w:hAnsi="Arial" w:cs="Arial"/>
          <w:bCs/>
        </w:rPr>
        <w:t>Participation in a Single County or Multiple Counties</w:t>
      </w:r>
    </w:p>
    <w:p w14:paraId="324ACC71" w14:textId="77777777" w:rsidR="00C662AE" w:rsidRPr="0097271B" w:rsidRDefault="00C662AE" w:rsidP="00583120">
      <w:pPr>
        <w:pStyle w:val="ListParagraph"/>
        <w:numPr>
          <w:ilvl w:val="0"/>
          <w:numId w:val="11"/>
        </w:numPr>
        <w:spacing w:before="240" w:after="240"/>
        <w:contextualSpacing w:val="0"/>
        <w:rPr>
          <w:rFonts w:ascii="Arial" w:hAnsi="Arial" w:cs="Arial"/>
          <w:bCs/>
        </w:rPr>
      </w:pPr>
      <w:r w:rsidRPr="0097271B">
        <w:rPr>
          <w:rFonts w:ascii="Arial" w:hAnsi="Arial" w:cs="Arial"/>
          <w:bCs/>
        </w:rPr>
        <w:t>FTE Starting Value Adjustments by Full-Time/Part-Time and Single County/Multiple Counties are set forth in Table A.</w:t>
      </w:r>
    </w:p>
    <w:p w14:paraId="7A91CAF6" w14:textId="77777777" w:rsidR="00C662AE" w:rsidRPr="0097271B" w:rsidRDefault="00C662AE" w:rsidP="00583120">
      <w:pPr>
        <w:spacing w:after="240"/>
        <w:jc w:val="center"/>
        <w:rPr>
          <w:rFonts w:ascii="Arial" w:hAnsi="Arial" w:cs="Arial"/>
          <w:b/>
        </w:rPr>
      </w:pPr>
      <w:r w:rsidRPr="0097271B">
        <w:rPr>
          <w:rFonts w:ascii="Arial" w:hAnsi="Arial" w:cs="Arial"/>
          <w:b/>
          <w:bCs/>
        </w:rPr>
        <w:t>Table A: FTE Starting Values and Starting Value Adjustments by County Type</w:t>
      </w:r>
    </w:p>
    <w:tbl>
      <w:tblPr>
        <w:tblStyle w:val="TableGrid"/>
        <w:tblW w:w="9504" w:type="dxa"/>
        <w:jc w:val="center"/>
        <w:tblLayout w:type="fixed"/>
        <w:tblLook w:val="04A0" w:firstRow="1" w:lastRow="0" w:firstColumn="1" w:lastColumn="0" w:noHBand="0" w:noVBand="1"/>
        <w:tblCaption w:val="Table A"/>
        <w:tblDescription w:val="Table A: FTE Starting Values and Starting Value Adjustments by County Type"/>
      </w:tblPr>
      <w:tblGrid>
        <w:gridCol w:w="1584"/>
        <w:gridCol w:w="1584"/>
        <w:gridCol w:w="1584"/>
        <w:gridCol w:w="1584"/>
        <w:gridCol w:w="1584"/>
        <w:gridCol w:w="1584"/>
      </w:tblGrid>
      <w:tr w:rsidR="00C662AE" w:rsidRPr="0045472C" w14:paraId="76F3391E" w14:textId="77777777">
        <w:trPr>
          <w:trHeight w:val="961"/>
          <w:tblHeader/>
          <w:jc w:val="center"/>
        </w:trPr>
        <w:tc>
          <w:tcPr>
            <w:tcW w:w="1584"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46243D3F" w14:textId="02262997" w:rsidR="00C662AE" w:rsidRPr="0045472C" w:rsidRDefault="00C662AE" w:rsidP="00583120">
            <w:pPr>
              <w:jc w:val="center"/>
              <w:rPr>
                <w:rFonts w:ascii="Arial" w:hAnsi="Arial" w:cs="Arial"/>
                <w:b/>
                <w:bCs/>
                <w:color w:val="FFFFFF" w:themeColor="background1"/>
              </w:rPr>
            </w:pPr>
            <w:r w:rsidRPr="0045472C">
              <w:rPr>
                <w:rFonts w:ascii="Arial" w:hAnsi="Arial" w:cs="Arial"/>
                <w:b/>
                <w:bCs/>
                <w:color w:val="FFFFFF" w:themeColor="background1"/>
              </w:rPr>
              <w:t>County Type</w:t>
            </w:r>
          </w:p>
        </w:tc>
        <w:tc>
          <w:tcPr>
            <w:tcW w:w="1584" w:type="dxa"/>
            <w:tcBorders>
              <w:top w:val="single" w:sz="4" w:space="0" w:color="auto"/>
              <w:left w:val="single" w:sz="4" w:space="0" w:color="auto"/>
              <w:bottom w:val="single" w:sz="4" w:space="0" w:color="auto"/>
              <w:right w:val="single" w:sz="4" w:space="0" w:color="auto"/>
            </w:tcBorders>
            <w:shd w:val="clear" w:color="auto" w:fill="035530"/>
            <w:vAlign w:val="center"/>
          </w:tcPr>
          <w:p w14:paraId="774E79B8" w14:textId="77777777" w:rsidR="00C662AE" w:rsidRPr="0045472C" w:rsidRDefault="00C662AE" w:rsidP="00583120">
            <w:pPr>
              <w:jc w:val="center"/>
              <w:rPr>
                <w:rFonts w:ascii="Arial" w:hAnsi="Arial" w:cs="Arial"/>
                <w:b/>
                <w:bCs/>
                <w:color w:val="FFFFFF" w:themeColor="background1"/>
              </w:rPr>
            </w:pPr>
            <w:r w:rsidRPr="0045472C">
              <w:rPr>
                <w:rFonts w:ascii="Arial" w:hAnsi="Arial" w:cs="Arial"/>
                <w:b/>
                <w:bCs/>
                <w:color w:val="FFFFFF" w:themeColor="background1"/>
              </w:rPr>
              <w:t>FTE Starting Value</w:t>
            </w:r>
          </w:p>
        </w:tc>
        <w:tc>
          <w:tcPr>
            <w:tcW w:w="1584"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18A06DE6" w14:textId="0FB0ED40" w:rsidR="00C662AE" w:rsidRPr="0045472C" w:rsidRDefault="00C662AE" w:rsidP="00583120">
            <w:pPr>
              <w:jc w:val="center"/>
              <w:rPr>
                <w:rFonts w:ascii="Arial" w:hAnsi="Arial" w:cs="Arial"/>
                <w:b/>
                <w:bCs/>
                <w:color w:val="FFFFFF" w:themeColor="background1"/>
              </w:rPr>
            </w:pPr>
            <w:r w:rsidRPr="0045472C">
              <w:rPr>
                <w:rFonts w:ascii="Arial" w:hAnsi="Arial" w:cs="Arial"/>
                <w:b/>
                <w:bCs/>
                <w:color w:val="FFFFFF" w:themeColor="background1"/>
              </w:rPr>
              <w:t>Full</w:t>
            </w:r>
            <w:r w:rsidR="00017E01" w:rsidRPr="00017E01">
              <w:rPr>
                <w:rStyle w:val="CommentReference"/>
                <w:rFonts w:ascii="Arial" w:hAnsi="Arial" w:cs="Arial"/>
                <w:b/>
                <w:bCs/>
                <w:sz w:val="24"/>
                <w:szCs w:val="24"/>
                <w:u w:val="single"/>
              </w:rPr>
              <w:t>-</w:t>
            </w:r>
            <w:r w:rsidRPr="0045472C">
              <w:rPr>
                <w:rFonts w:ascii="Arial" w:hAnsi="Arial" w:cs="Arial"/>
                <w:b/>
                <w:bCs/>
                <w:color w:val="FFFFFF" w:themeColor="background1"/>
              </w:rPr>
              <w:t>Time, Single-County</w:t>
            </w:r>
          </w:p>
        </w:tc>
        <w:tc>
          <w:tcPr>
            <w:tcW w:w="1584"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5DA4D350" w14:textId="77777777" w:rsidR="00C662AE" w:rsidRPr="0045472C" w:rsidRDefault="00C662AE" w:rsidP="00583120">
            <w:pPr>
              <w:jc w:val="center"/>
              <w:rPr>
                <w:rFonts w:ascii="Arial" w:hAnsi="Arial" w:cs="Arial"/>
                <w:b/>
                <w:bCs/>
                <w:color w:val="FFFFFF" w:themeColor="background1"/>
              </w:rPr>
            </w:pPr>
            <w:r w:rsidRPr="0045472C">
              <w:rPr>
                <w:rFonts w:ascii="Arial" w:hAnsi="Arial" w:cs="Arial"/>
                <w:b/>
                <w:bCs/>
                <w:color w:val="FFFFFF" w:themeColor="background1"/>
              </w:rPr>
              <w:t>Part-Time, Single-County</w:t>
            </w:r>
          </w:p>
        </w:tc>
        <w:tc>
          <w:tcPr>
            <w:tcW w:w="1584"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174B9E33" w14:textId="77777777" w:rsidR="00C662AE" w:rsidRPr="0045472C" w:rsidRDefault="00C662AE" w:rsidP="00583120">
            <w:pPr>
              <w:jc w:val="center"/>
              <w:rPr>
                <w:rFonts w:ascii="Arial" w:hAnsi="Arial" w:cs="Arial"/>
                <w:b/>
                <w:bCs/>
                <w:color w:val="FFFFFF" w:themeColor="background1"/>
              </w:rPr>
            </w:pPr>
            <w:r w:rsidRPr="0045472C">
              <w:rPr>
                <w:rFonts w:ascii="Arial" w:hAnsi="Arial" w:cs="Arial"/>
                <w:b/>
                <w:bCs/>
                <w:color w:val="FFFFFF" w:themeColor="background1"/>
              </w:rPr>
              <w:t>Full-Time, Multiple-County</w:t>
            </w:r>
          </w:p>
        </w:tc>
        <w:tc>
          <w:tcPr>
            <w:tcW w:w="1584"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4B00C0DA" w14:textId="77777777" w:rsidR="00C662AE" w:rsidRPr="0045472C" w:rsidRDefault="00C662AE" w:rsidP="00583120">
            <w:pPr>
              <w:jc w:val="center"/>
              <w:rPr>
                <w:rFonts w:ascii="Arial" w:hAnsi="Arial" w:cs="Arial"/>
                <w:b/>
                <w:bCs/>
                <w:color w:val="FFFFFF" w:themeColor="background1"/>
              </w:rPr>
            </w:pPr>
            <w:r w:rsidRPr="0045472C">
              <w:rPr>
                <w:rFonts w:ascii="Arial" w:hAnsi="Arial" w:cs="Arial"/>
                <w:b/>
                <w:bCs/>
                <w:color w:val="FFFFFF" w:themeColor="background1"/>
              </w:rPr>
              <w:t>Part-Time, Multiple-County</w:t>
            </w:r>
          </w:p>
        </w:tc>
      </w:tr>
      <w:tr w:rsidR="00C662AE" w:rsidRPr="0045472C" w14:paraId="308D054D" w14:textId="77777777" w:rsidTr="00967712">
        <w:trPr>
          <w:trHeight w:val="288"/>
          <w:jc w:val="center"/>
        </w:trPr>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E33080" w14:textId="77777777" w:rsidR="00C662AE" w:rsidRPr="0045472C" w:rsidRDefault="00C662AE" w:rsidP="00583120">
            <w:pPr>
              <w:jc w:val="center"/>
              <w:rPr>
                <w:rFonts w:ascii="Arial" w:hAnsi="Arial" w:cs="Arial"/>
              </w:rPr>
            </w:pPr>
            <w:r w:rsidRPr="0045472C">
              <w:rPr>
                <w:rFonts w:ascii="Arial" w:hAnsi="Arial" w:cs="Arial"/>
              </w:rPr>
              <w:t>Large Metro</w:t>
            </w:r>
          </w:p>
        </w:tc>
        <w:tc>
          <w:tcPr>
            <w:tcW w:w="1584" w:type="dxa"/>
            <w:tcBorders>
              <w:top w:val="single" w:sz="4" w:space="0" w:color="auto"/>
              <w:left w:val="single" w:sz="4" w:space="0" w:color="auto"/>
              <w:bottom w:val="single" w:sz="4" w:space="0" w:color="auto"/>
              <w:right w:val="single" w:sz="4" w:space="0" w:color="auto"/>
            </w:tcBorders>
            <w:vAlign w:val="center"/>
          </w:tcPr>
          <w:p w14:paraId="05C8A167" w14:textId="77777777" w:rsidR="00C662AE" w:rsidRPr="0045472C" w:rsidRDefault="00C662AE" w:rsidP="00583120">
            <w:pPr>
              <w:jc w:val="center"/>
              <w:rPr>
                <w:rFonts w:ascii="Arial" w:hAnsi="Arial" w:cs="Arial"/>
              </w:rPr>
            </w:pPr>
            <w:r w:rsidRPr="0045472C">
              <w:rPr>
                <w:rFonts w:ascii="Arial" w:hAnsi="Arial" w:cs="Arial"/>
              </w:rPr>
              <w:t>0.06</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E4AC7A" w14:textId="77777777" w:rsidR="00C662AE" w:rsidRPr="0045472C" w:rsidRDefault="00C662AE" w:rsidP="00583120">
            <w:pPr>
              <w:jc w:val="center"/>
              <w:rPr>
                <w:rFonts w:ascii="Arial" w:hAnsi="Arial" w:cs="Arial"/>
              </w:rPr>
            </w:pPr>
            <w:r w:rsidRPr="0045472C">
              <w:rPr>
                <w:rFonts w:ascii="Arial" w:hAnsi="Arial" w:cs="Arial"/>
              </w:rPr>
              <w:t>0.06</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B9D022" w14:textId="77777777" w:rsidR="00C662AE" w:rsidRPr="0045472C" w:rsidRDefault="00C662AE" w:rsidP="00583120">
            <w:pPr>
              <w:jc w:val="center"/>
              <w:rPr>
                <w:rFonts w:ascii="Arial" w:hAnsi="Arial" w:cs="Arial"/>
              </w:rPr>
            </w:pPr>
            <w:r w:rsidRPr="0045472C">
              <w:rPr>
                <w:rFonts w:ascii="Arial" w:hAnsi="Arial" w:cs="Arial"/>
              </w:rPr>
              <w:t>0.04</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72A675" w14:textId="77777777" w:rsidR="00C662AE" w:rsidRPr="0045472C" w:rsidRDefault="00C662AE" w:rsidP="00583120">
            <w:pPr>
              <w:jc w:val="center"/>
              <w:rPr>
                <w:rFonts w:ascii="Arial" w:hAnsi="Arial" w:cs="Arial"/>
              </w:rPr>
            </w:pPr>
            <w:r w:rsidRPr="0045472C">
              <w:rPr>
                <w:rFonts w:ascii="Arial" w:hAnsi="Arial" w:cs="Arial"/>
              </w:rPr>
              <w:t>0.03</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68A4F5" w14:textId="77777777" w:rsidR="00C662AE" w:rsidRPr="0045472C" w:rsidRDefault="00C662AE" w:rsidP="00583120">
            <w:pPr>
              <w:jc w:val="center"/>
              <w:rPr>
                <w:rFonts w:ascii="Arial" w:hAnsi="Arial" w:cs="Arial"/>
              </w:rPr>
            </w:pPr>
            <w:r w:rsidRPr="0045472C">
              <w:rPr>
                <w:rFonts w:ascii="Arial" w:hAnsi="Arial" w:cs="Arial"/>
              </w:rPr>
              <w:t>0.02</w:t>
            </w:r>
          </w:p>
        </w:tc>
      </w:tr>
      <w:tr w:rsidR="00C662AE" w:rsidRPr="0045472C" w14:paraId="771E5A5E" w14:textId="77777777" w:rsidTr="00967712">
        <w:trPr>
          <w:trHeight w:val="288"/>
          <w:jc w:val="center"/>
        </w:trPr>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111A97" w14:textId="77777777" w:rsidR="00C662AE" w:rsidRPr="0045472C" w:rsidRDefault="00C662AE" w:rsidP="00583120">
            <w:pPr>
              <w:jc w:val="center"/>
              <w:rPr>
                <w:rFonts w:ascii="Arial" w:hAnsi="Arial" w:cs="Arial"/>
              </w:rPr>
            </w:pPr>
            <w:r w:rsidRPr="0045472C">
              <w:rPr>
                <w:rFonts w:ascii="Arial" w:hAnsi="Arial" w:cs="Arial"/>
              </w:rPr>
              <w:t>Metro</w:t>
            </w:r>
          </w:p>
        </w:tc>
        <w:tc>
          <w:tcPr>
            <w:tcW w:w="1584" w:type="dxa"/>
            <w:tcBorders>
              <w:top w:val="single" w:sz="4" w:space="0" w:color="auto"/>
              <w:left w:val="single" w:sz="4" w:space="0" w:color="auto"/>
              <w:bottom w:val="single" w:sz="4" w:space="0" w:color="auto"/>
              <w:right w:val="single" w:sz="4" w:space="0" w:color="auto"/>
            </w:tcBorders>
            <w:vAlign w:val="center"/>
          </w:tcPr>
          <w:p w14:paraId="0435CE81" w14:textId="77777777" w:rsidR="00C662AE" w:rsidRPr="0045472C" w:rsidRDefault="00C662AE" w:rsidP="00583120">
            <w:pPr>
              <w:jc w:val="center"/>
              <w:rPr>
                <w:rFonts w:ascii="Arial" w:hAnsi="Arial" w:cs="Arial"/>
              </w:rPr>
            </w:pPr>
            <w:r w:rsidRPr="0045472C">
              <w:rPr>
                <w:rFonts w:ascii="Arial" w:hAnsi="Arial" w:cs="Arial"/>
              </w:rPr>
              <w:t>0.07</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3FCE75" w14:textId="77777777" w:rsidR="00C662AE" w:rsidRPr="0045472C" w:rsidRDefault="00C662AE" w:rsidP="00583120">
            <w:pPr>
              <w:jc w:val="center"/>
              <w:rPr>
                <w:rFonts w:ascii="Arial" w:hAnsi="Arial" w:cs="Arial"/>
              </w:rPr>
            </w:pPr>
            <w:r w:rsidRPr="0045472C">
              <w:rPr>
                <w:rFonts w:ascii="Arial" w:hAnsi="Arial" w:cs="Arial"/>
              </w:rPr>
              <w:t>0.07</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E01CB1" w14:textId="77777777" w:rsidR="00C662AE" w:rsidRPr="0045472C" w:rsidRDefault="00C662AE" w:rsidP="00583120">
            <w:pPr>
              <w:jc w:val="center"/>
              <w:rPr>
                <w:rFonts w:ascii="Arial" w:hAnsi="Arial" w:cs="Arial"/>
              </w:rPr>
            </w:pPr>
            <w:r w:rsidRPr="0045472C">
              <w:rPr>
                <w:rFonts w:ascii="Arial" w:hAnsi="Arial" w:cs="Arial"/>
              </w:rPr>
              <w:t>0.04</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B9A95D" w14:textId="77777777" w:rsidR="00C662AE" w:rsidRPr="0045472C" w:rsidRDefault="00C662AE" w:rsidP="00583120">
            <w:pPr>
              <w:jc w:val="center"/>
              <w:rPr>
                <w:rFonts w:ascii="Arial" w:hAnsi="Arial" w:cs="Arial"/>
              </w:rPr>
            </w:pPr>
            <w:r w:rsidRPr="0045472C">
              <w:rPr>
                <w:rFonts w:ascii="Arial" w:hAnsi="Arial" w:cs="Arial"/>
              </w:rPr>
              <w:t>0.04</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A32063" w14:textId="77777777" w:rsidR="00C662AE" w:rsidRPr="0045472C" w:rsidRDefault="00C662AE" w:rsidP="00583120">
            <w:pPr>
              <w:jc w:val="center"/>
              <w:rPr>
                <w:rFonts w:ascii="Arial" w:hAnsi="Arial" w:cs="Arial"/>
              </w:rPr>
            </w:pPr>
            <w:r w:rsidRPr="0045472C">
              <w:rPr>
                <w:rFonts w:ascii="Arial" w:hAnsi="Arial" w:cs="Arial"/>
              </w:rPr>
              <w:t>0.02</w:t>
            </w:r>
          </w:p>
        </w:tc>
      </w:tr>
      <w:tr w:rsidR="00C662AE" w:rsidRPr="0045472C" w14:paraId="7F15CC5D" w14:textId="77777777" w:rsidTr="00967712">
        <w:trPr>
          <w:trHeight w:val="288"/>
          <w:jc w:val="center"/>
        </w:trPr>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7DB145" w14:textId="77777777" w:rsidR="00C662AE" w:rsidRPr="0045472C" w:rsidRDefault="00C662AE" w:rsidP="00583120">
            <w:pPr>
              <w:jc w:val="center"/>
              <w:rPr>
                <w:rFonts w:ascii="Arial" w:hAnsi="Arial" w:cs="Arial"/>
              </w:rPr>
            </w:pPr>
            <w:r w:rsidRPr="0045472C">
              <w:rPr>
                <w:rFonts w:ascii="Arial" w:hAnsi="Arial" w:cs="Arial"/>
              </w:rPr>
              <w:t>Micro</w:t>
            </w:r>
          </w:p>
        </w:tc>
        <w:tc>
          <w:tcPr>
            <w:tcW w:w="1584" w:type="dxa"/>
            <w:tcBorders>
              <w:top w:val="single" w:sz="4" w:space="0" w:color="auto"/>
              <w:left w:val="single" w:sz="4" w:space="0" w:color="auto"/>
              <w:bottom w:val="single" w:sz="4" w:space="0" w:color="auto"/>
              <w:right w:val="single" w:sz="4" w:space="0" w:color="auto"/>
            </w:tcBorders>
            <w:vAlign w:val="center"/>
          </w:tcPr>
          <w:p w14:paraId="0B069E47" w14:textId="77777777" w:rsidR="00C662AE" w:rsidRPr="0045472C" w:rsidRDefault="00C662AE" w:rsidP="00583120">
            <w:pPr>
              <w:jc w:val="center"/>
              <w:rPr>
                <w:rFonts w:ascii="Arial" w:hAnsi="Arial" w:cs="Arial"/>
              </w:rPr>
            </w:pPr>
            <w:r w:rsidRPr="0045472C">
              <w:rPr>
                <w:rFonts w:ascii="Arial" w:hAnsi="Arial" w:cs="Arial"/>
              </w:rPr>
              <w:t>0.14</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F2C716" w14:textId="77777777" w:rsidR="00C662AE" w:rsidRPr="0045472C" w:rsidRDefault="00C662AE" w:rsidP="00583120">
            <w:pPr>
              <w:jc w:val="center"/>
              <w:rPr>
                <w:rFonts w:ascii="Arial" w:hAnsi="Arial" w:cs="Arial"/>
              </w:rPr>
            </w:pPr>
            <w:r w:rsidRPr="0045472C">
              <w:rPr>
                <w:rFonts w:ascii="Arial" w:hAnsi="Arial" w:cs="Arial"/>
              </w:rPr>
              <w:t>0.14</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CC60CC" w14:textId="77777777" w:rsidR="00C662AE" w:rsidRPr="0045472C" w:rsidRDefault="00C662AE" w:rsidP="00583120">
            <w:pPr>
              <w:jc w:val="center"/>
              <w:rPr>
                <w:rFonts w:ascii="Arial" w:hAnsi="Arial" w:cs="Arial"/>
              </w:rPr>
            </w:pPr>
            <w:r w:rsidRPr="0045472C">
              <w:rPr>
                <w:rFonts w:ascii="Arial" w:hAnsi="Arial" w:cs="Arial"/>
              </w:rPr>
              <w:t>0.09</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AA48BA" w14:textId="77777777" w:rsidR="00C662AE" w:rsidRPr="0045472C" w:rsidRDefault="00C662AE" w:rsidP="00583120">
            <w:pPr>
              <w:jc w:val="center"/>
              <w:rPr>
                <w:rFonts w:ascii="Arial" w:hAnsi="Arial" w:cs="Arial"/>
              </w:rPr>
            </w:pPr>
            <w:r w:rsidRPr="0045472C">
              <w:rPr>
                <w:rFonts w:ascii="Arial" w:hAnsi="Arial" w:cs="Arial"/>
              </w:rPr>
              <w:t>0.07</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B4E082" w14:textId="77777777" w:rsidR="00C662AE" w:rsidRPr="0045472C" w:rsidRDefault="00C662AE" w:rsidP="00583120">
            <w:pPr>
              <w:jc w:val="center"/>
              <w:rPr>
                <w:rFonts w:ascii="Arial" w:hAnsi="Arial" w:cs="Arial"/>
              </w:rPr>
            </w:pPr>
            <w:r w:rsidRPr="0045472C">
              <w:rPr>
                <w:rFonts w:ascii="Arial" w:hAnsi="Arial" w:cs="Arial"/>
              </w:rPr>
              <w:t>0.04</w:t>
            </w:r>
          </w:p>
        </w:tc>
      </w:tr>
      <w:tr w:rsidR="00C662AE" w:rsidRPr="0045472C" w14:paraId="2E49D94F" w14:textId="77777777" w:rsidTr="00967712">
        <w:trPr>
          <w:trHeight w:val="288"/>
          <w:jc w:val="center"/>
        </w:trPr>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4E16A2" w14:textId="77777777" w:rsidR="00C662AE" w:rsidRPr="0045472C" w:rsidRDefault="00C662AE" w:rsidP="00583120">
            <w:pPr>
              <w:jc w:val="center"/>
              <w:rPr>
                <w:rFonts w:ascii="Arial" w:hAnsi="Arial" w:cs="Arial"/>
              </w:rPr>
            </w:pPr>
            <w:r w:rsidRPr="0045472C">
              <w:rPr>
                <w:rFonts w:ascii="Arial" w:hAnsi="Arial" w:cs="Arial"/>
              </w:rPr>
              <w:t>Rural</w:t>
            </w:r>
          </w:p>
        </w:tc>
        <w:tc>
          <w:tcPr>
            <w:tcW w:w="1584" w:type="dxa"/>
            <w:tcBorders>
              <w:top w:val="single" w:sz="4" w:space="0" w:color="auto"/>
              <w:left w:val="single" w:sz="4" w:space="0" w:color="auto"/>
              <w:bottom w:val="single" w:sz="4" w:space="0" w:color="auto"/>
              <w:right w:val="single" w:sz="4" w:space="0" w:color="auto"/>
            </w:tcBorders>
            <w:vAlign w:val="center"/>
          </w:tcPr>
          <w:p w14:paraId="08C6E84C" w14:textId="77777777" w:rsidR="00C662AE" w:rsidRPr="0045472C" w:rsidRDefault="00C662AE" w:rsidP="00583120">
            <w:pPr>
              <w:jc w:val="center"/>
              <w:rPr>
                <w:rFonts w:ascii="Arial" w:hAnsi="Arial" w:cs="Arial"/>
              </w:rPr>
            </w:pPr>
            <w:r w:rsidRPr="0045472C">
              <w:rPr>
                <w:rFonts w:ascii="Arial" w:hAnsi="Arial" w:cs="Arial"/>
              </w:rPr>
              <w:t>0.20</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CA5BDD" w14:textId="77777777" w:rsidR="00C662AE" w:rsidRPr="0045472C" w:rsidRDefault="00C662AE" w:rsidP="00583120">
            <w:pPr>
              <w:jc w:val="center"/>
              <w:rPr>
                <w:rFonts w:ascii="Arial" w:hAnsi="Arial" w:cs="Arial"/>
              </w:rPr>
            </w:pPr>
            <w:r w:rsidRPr="0045472C">
              <w:rPr>
                <w:rFonts w:ascii="Arial" w:hAnsi="Arial" w:cs="Arial"/>
              </w:rPr>
              <w:t>0.20</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331D38" w14:textId="77777777" w:rsidR="00C662AE" w:rsidRPr="0045472C" w:rsidRDefault="00C662AE" w:rsidP="00583120">
            <w:pPr>
              <w:jc w:val="center"/>
              <w:rPr>
                <w:rFonts w:ascii="Arial" w:hAnsi="Arial" w:cs="Arial"/>
              </w:rPr>
            </w:pPr>
            <w:r w:rsidRPr="0045472C">
              <w:rPr>
                <w:rFonts w:ascii="Arial" w:hAnsi="Arial" w:cs="Arial"/>
              </w:rPr>
              <w:t>0.12</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F4C622" w14:textId="77777777" w:rsidR="00C662AE" w:rsidRPr="0045472C" w:rsidRDefault="00C662AE" w:rsidP="00583120">
            <w:pPr>
              <w:jc w:val="center"/>
              <w:rPr>
                <w:rFonts w:ascii="Arial" w:hAnsi="Arial" w:cs="Arial"/>
              </w:rPr>
            </w:pPr>
            <w:r w:rsidRPr="0045472C">
              <w:rPr>
                <w:rFonts w:ascii="Arial" w:hAnsi="Arial" w:cs="Arial"/>
              </w:rPr>
              <w:t>0.10</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61E98F" w14:textId="77777777" w:rsidR="00C662AE" w:rsidRPr="0045472C" w:rsidRDefault="00C662AE" w:rsidP="00583120">
            <w:pPr>
              <w:jc w:val="center"/>
              <w:rPr>
                <w:rFonts w:ascii="Arial" w:hAnsi="Arial" w:cs="Arial"/>
              </w:rPr>
            </w:pPr>
            <w:r w:rsidRPr="0045472C">
              <w:rPr>
                <w:rFonts w:ascii="Arial" w:hAnsi="Arial" w:cs="Arial"/>
              </w:rPr>
              <w:t>0.05</w:t>
            </w:r>
          </w:p>
        </w:tc>
      </w:tr>
      <w:tr w:rsidR="00C662AE" w:rsidRPr="0045472C" w14:paraId="79274FF7" w14:textId="77777777" w:rsidTr="00967712">
        <w:trPr>
          <w:trHeight w:val="288"/>
          <w:jc w:val="center"/>
        </w:trPr>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2274AD" w14:textId="77777777" w:rsidR="00C662AE" w:rsidRPr="0045472C" w:rsidRDefault="00C662AE" w:rsidP="00583120">
            <w:pPr>
              <w:jc w:val="center"/>
              <w:rPr>
                <w:rFonts w:ascii="Arial" w:hAnsi="Arial" w:cs="Arial"/>
              </w:rPr>
            </w:pPr>
            <w:r w:rsidRPr="0045472C">
              <w:rPr>
                <w:rFonts w:ascii="Arial" w:hAnsi="Arial" w:cs="Arial"/>
              </w:rPr>
              <w:t>CEAC</w:t>
            </w:r>
          </w:p>
        </w:tc>
        <w:tc>
          <w:tcPr>
            <w:tcW w:w="1584" w:type="dxa"/>
            <w:tcBorders>
              <w:top w:val="single" w:sz="4" w:space="0" w:color="auto"/>
              <w:left w:val="single" w:sz="4" w:space="0" w:color="auto"/>
              <w:bottom w:val="single" w:sz="4" w:space="0" w:color="auto"/>
              <w:right w:val="single" w:sz="4" w:space="0" w:color="auto"/>
            </w:tcBorders>
            <w:vAlign w:val="center"/>
          </w:tcPr>
          <w:p w14:paraId="5EE30DE7" w14:textId="77777777" w:rsidR="00C662AE" w:rsidRPr="0045472C" w:rsidRDefault="00C662AE" w:rsidP="00583120">
            <w:pPr>
              <w:jc w:val="center"/>
              <w:rPr>
                <w:rFonts w:ascii="Arial" w:hAnsi="Arial" w:cs="Arial"/>
              </w:rPr>
            </w:pPr>
            <w:r w:rsidRPr="0045472C">
              <w:rPr>
                <w:rFonts w:ascii="Arial" w:hAnsi="Arial" w:cs="Arial"/>
              </w:rPr>
              <w:t>0.20</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9936D3" w14:textId="77777777" w:rsidR="00C662AE" w:rsidRPr="0045472C" w:rsidRDefault="00C662AE" w:rsidP="00583120">
            <w:pPr>
              <w:jc w:val="center"/>
              <w:rPr>
                <w:rFonts w:ascii="Arial" w:hAnsi="Arial" w:cs="Arial"/>
              </w:rPr>
            </w:pPr>
            <w:r w:rsidRPr="0045472C">
              <w:rPr>
                <w:rFonts w:ascii="Arial" w:hAnsi="Arial" w:cs="Arial"/>
              </w:rPr>
              <w:t>0.20</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D929AC" w14:textId="77777777" w:rsidR="00C662AE" w:rsidRPr="0045472C" w:rsidRDefault="00C662AE" w:rsidP="00583120">
            <w:pPr>
              <w:jc w:val="center"/>
              <w:rPr>
                <w:rFonts w:ascii="Arial" w:hAnsi="Arial" w:cs="Arial"/>
              </w:rPr>
            </w:pPr>
            <w:r w:rsidRPr="0045472C">
              <w:rPr>
                <w:rFonts w:ascii="Arial" w:hAnsi="Arial" w:cs="Arial"/>
              </w:rPr>
              <w:t>0.12</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209057" w14:textId="77777777" w:rsidR="00C662AE" w:rsidRPr="0045472C" w:rsidRDefault="00C662AE" w:rsidP="00583120">
            <w:pPr>
              <w:jc w:val="center"/>
              <w:rPr>
                <w:rFonts w:ascii="Arial" w:hAnsi="Arial" w:cs="Arial"/>
              </w:rPr>
            </w:pPr>
            <w:r w:rsidRPr="0045472C">
              <w:rPr>
                <w:rFonts w:ascii="Arial" w:hAnsi="Arial" w:cs="Arial"/>
              </w:rPr>
              <w:t>0.10</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D4E1FD0" w14:textId="77777777" w:rsidR="00C662AE" w:rsidRPr="0045472C" w:rsidRDefault="00C662AE" w:rsidP="00583120">
            <w:pPr>
              <w:jc w:val="center"/>
              <w:rPr>
                <w:rFonts w:ascii="Arial" w:hAnsi="Arial" w:cs="Arial"/>
              </w:rPr>
            </w:pPr>
            <w:r w:rsidRPr="0045472C">
              <w:rPr>
                <w:rFonts w:ascii="Arial" w:hAnsi="Arial" w:cs="Arial"/>
              </w:rPr>
              <w:t>0.05</w:t>
            </w:r>
          </w:p>
        </w:tc>
      </w:tr>
    </w:tbl>
    <w:p w14:paraId="691C9103" w14:textId="7D7AFBE2" w:rsidR="00EB382B" w:rsidRPr="0097271B" w:rsidRDefault="00EB7069" w:rsidP="00583120">
      <w:pPr>
        <w:spacing w:before="240" w:after="240"/>
        <w:rPr>
          <w:rFonts w:ascii="Arial" w:hAnsi="Arial" w:cs="Arial"/>
          <w:u w:val="single"/>
        </w:rPr>
      </w:pPr>
      <w:r w:rsidRPr="0097271B">
        <w:rPr>
          <w:rFonts w:ascii="Arial" w:hAnsi="Arial" w:cs="Arial"/>
          <w:u w:val="single"/>
        </w:rPr>
        <w:lastRenderedPageBreak/>
        <w:t xml:space="preserve">The part-time or full-time status of </w:t>
      </w:r>
      <w:r w:rsidR="00185494" w:rsidRPr="0097271B">
        <w:rPr>
          <w:rFonts w:ascii="Arial" w:hAnsi="Arial" w:cs="Arial"/>
          <w:u w:val="single"/>
        </w:rPr>
        <w:t>the</w:t>
      </w:r>
      <w:r w:rsidRPr="0097271B">
        <w:rPr>
          <w:rFonts w:ascii="Arial" w:hAnsi="Arial" w:cs="Arial"/>
          <w:u w:val="single"/>
        </w:rPr>
        <w:t xml:space="preserve"> provider is based on data </w:t>
      </w:r>
      <w:r w:rsidR="00185494" w:rsidRPr="0097271B">
        <w:rPr>
          <w:rFonts w:ascii="Arial" w:hAnsi="Arial" w:cs="Arial"/>
          <w:u w:val="single"/>
        </w:rPr>
        <w:t>reported</w:t>
      </w:r>
      <w:r w:rsidRPr="0097271B">
        <w:rPr>
          <w:rFonts w:ascii="Arial" w:hAnsi="Arial" w:cs="Arial"/>
          <w:u w:val="single"/>
        </w:rPr>
        <w:t xml:space="preserve"> by the </w:t>
      </w:r>
      <w:r w:rsidR="00A45E5B" w:rsidRPr="0097271B">
        <w:rPr>
          <w:rFonts w:ascii="Arial" w:hAnsi="Arial" w:cs="Arial"/>
          <w:u w:val="single"/>
        </w:rPr>
        <w:t xml:space="preserve">health care service plan (plan). </w:t>
      </w:r>
      <w:r w:rsidR="00185494" w:rsidRPr="0097271B">
        <w:rPr>
          <w:rFonts w:ascii="Arial" w:hAnsi="Arial" w:cs="Arial"/>
          <w:u w:val="single"/>
        </w:rPr>
        <w:t xml:space="preserve">If the plan does not report </w:t>
      </w:r>
      <w:r w:rsidR="009A4091" w:rsidRPr="0097271B">
        <w:rPr>
          <w:rFonts w:ascii="Arial" w:hAnsi="Arial" w:cs="Arial"/>
          <w:u w:val="single"/>
        </w:rPr>
        <w:t xml:space="preserve">this </w:t>
      </w:r>
      <w:r w:rsidR="00185494" w:rsidRPr="0097271B">
        <w:rPr>
          <w:rFonts w:ascii="Arial" w:hAnsi="Arial" w:cs="Arial"/>
          <w:u w:val="single"/>
        </w:rPr>
        <w:t>required information, the Department will assign a part-time status to the provider.</w:t>
      </w:r>
    </w:p>
    <w:p w14:paraId="7433BC06" w14:textId="36B7697E" w:rsidR="00C662AE" w:rsidRPr="0097271B" w:rsidRDefault="00C662AE" w:rsidP="00583120">
      <w:pPr>
        <w:spacing w:before="240" w:after="240"/>
        <w:rPr>
          <w:rFonts w:ascii="Arial" w:hAnsi="Arial" w:cs="Arial"/>
          <w:b/>
          <w:bCs/>
        </w:rPr>
      </w:pPr>
      <w:r w:rsidRPr="0097271B">
        <w:rPr>
          <w:rFonts w:ascii="Arial" w:hAnsi="Arial" w:cs="Arial"/>
          <w:b/>
          <w:bCs/>
          <w:strike/>
        </w:rPr>
        <w:t>Examples</w:t>
      </w:r>
      <w:r w:rsidR="00C916DB" w:rsidRPr="0097271B">
        <w:rPr>
          <w:rFonts w:ascii="Arial" w:hAnsi="Arial" w:cs="Arial"/>
          <w:b/>
          <w:bCs/>
          <w:strike/>
        </w:rPr>
        <w:t xml:space="preserve"> </w:t>
      </w:r>
      <w:r w:rsidR="00C916DB" w:rsidRPr="0097271B">
        <w:rPr>
          <w:rFonts w:ascii="Arial" w:hAnsi="Arial" w:cs="Arial"/>
          <w:b/>
          <w:bCs/>
          <w:u w:val="single"/>
        </w:rPr>
        <w:t>Example 1</w:t>
      </w:r>
      <w:r w:rsidRPr="0097271B">
        <w:rPr>
          <w:rFonts w:ascii="Arial" w:hAnsi="Arial" w:cs="Arial"/>
          <w:b/>
          <w:bCs/>
        </w:rPr>
        <w:t>:</w:t>
      </w:r>
    </w:p>
    <w:p w14:paraId="7FC137C6" w14:textId="77777777" w:rsidR="00C662AE" w:rsidRPr="0097271B" w:rsidRDefault="00C662AE" w:rsidP="00583120">
      <w:pPr>
        <w:spacing w:after="240"/>
        <w:rPr>
          <w:rFonts w:ascii="Arial" w:hAnsi="Arial" w:cs="Arial"/>
        </w:rPr>
      </w:pPr>
      <w:r w:rsidRPr="0097271B">
        <w:rPr>
          <w:rFonts w:ascii="Arial" w:hAnsi="Arial" w:cs="Arial"/>
          <w:b/>
          <w:bCs/>
        </w:rPr>
        <w:t>Table B</w:t>
      </w:r>
      <w:r w:rsidRPr="0097271B">
        <w:rPr>
          <w:rFonts w:ascii="Arial" w:hAnsi="Arial" w:cs="Arial"/>
        </w:rPr>
        <w:t xml:space="preserve"> provides example calculations for two hypothetical network service-area counties.</w:t>
      </w:r>
    </w:p>
    <w:p w14:paraId="3285A20A" w14:textId="6534325A" w:rsidR="00C662AE" w:rsidRPr="0097271B" w:rsidRDefault="00C662AE" w:rsidP="00583120">
      <w:pPr>
        <w:spacing w:after="240"/>
        <w:rPr>
          <w:rFonts w:ascii="Arial" w:hAnsi="Arial" w:cs="Arial"/>
          <w:b/>
        </w:rPr>
      </w:pPr>
      <w:r w:rsidRPr="0097271B">
        <w:rPr>
          <w:rFonts w:ascii="Arial" w:hAnsi="Arial" w:cs="Arial"/>
          <w:b/>
        </w:rPr>
        <w:t>Siskiyou County</w:t>
      </w:r>
    </w:p>
    <w:p w14:paraId="4BA61DE4" w14:textId="192108B9" w:rsidR="00C662AE" w:rsidRPr="0097271B" w:rsidRDefault="00C662AE" w:rsidP="00583120">
      <w:pPr>
        <w:spacing w:after="240"/>
        <w:rPr>
          <w:rFonts w:ascii="Arial" w:hAnsi="Arial" w:cs="Arial"/>
        </w:rPr>
      </w:pPr>
      <w:r w:rsidRPr="0097271B">
        <w:rPr>
          <w:rFonts w:ascii="Arial" w:hAnsi="Arial" w:cs="Arial"/>
        </w:rPr>
        <w:t xml:space="preserve">In the Siskiyou County example, the </w:t>
      </w:r>
      <w:r w:rsidR="001B64A8" w:rsidRPr="0097271B">
        <w:rPr>
          <w:rFonts w:ascii="Arial" w:hAnsi="Arial" w:cs="Arial"/>
          <w:strike/>
        </w:rPr>
        <w:t>health care service plan (</w:t>
      </w:r>
      <w:r w:rsidRPr="0097271B">
        <w:rPr>
          <w:rFonts w:ascii="Arial" w:hAnsi="Arial" w:cs="Arial"/>
        </w:rPr>
        <w:t>plan</w:t>
      </w:r>
      <w:r w:rsidR="001B64A8" w:rsidRPr="0097271B">
        <w:rPr>
          <w:rFonts w:ascii="Arial" w:hAnsi="Arial" w:cs="Arial"/>
          <w:strike/>
        </w:rPr>
        <w:t>)</w:t>
      </w:r>
      <w:r w:rsidRPr="0097271B">
        <w:rPr>
          <w:rFonts w:ascii="Arial" w:hAnsi="Arial" w:cs="Arial"/>
        </w:rPr>
        <w:t xml:space="preserve"> </w:t>
      </w:r>
      <w:r w:rsidRPr="0097271B">
        <w:rPr>
          <w:rFonts w:ascii="Arial" w:hAnsi="Arial" w:cs="Arial"/>
          <w:strike/>
        </w:rPr>
        <w:t>has</w:t>
      </w:r>
      <w:r w:rsidRPr="0097271B">
        <w:rPr>
          <w:rFonts w:ascii="Arial" w:hAnsi="Arial" w:cs="Arial"/>
        </w:rPr>
        <w:t xml:space="preserve"> reported two network </w:t>
      </w:r>
      <w:r w:rsidR="003656CC" w:rsidRPr="0097271B">
        <w:rPr>
          <w:rFonts w:ascii="Arial" w:hAnsi="Arial" w:cs="Arial"/>
        </w:rPr>
        <w:t>C</w:t>
      </w:r>
      <w:r w:rsidRPr="0097271B">
        <w:rPr>
          <w:rFonts w:ascii="Arial" w:hAnsi="Arial" w:cs="Arial"/>
        </w:rPr>
        <w:t xml:space="preserve">ounseling MHPs in Siskiyou County for the network being evaluated. </w:t>
      </w:r>
      <w:r w:rsidR="00094A5F" w:rsidRPr="0097271B">
        <w:rPr>
          <w:rFonts w:ascii="Arial" w:hAnsi="Arial" w:cs="Arial"/>
          <w:u w:val="single"/>
        </w:rPr>
        <w:t>Both providers only have practice locations within Siskiyou County.</w:t>
      </w:r>
      <w:r w:rsidR="00094A5F" w:rsidRPr="0097271B">
        <w:rPr>
          <w:rFonts w:ascii="Arial" w:hAnsi="Arial" w:cs="Arial"/>
        </w:rPr>
        <w:t xml:space="preserve"> </w:t>
      </w:r>
      <w:r w:rsidRPr="0097271B">
        <w:rPr>
          <w:rFonts w:ascii="Arial" w:hAnsi="Arial" w:cs="Arial"/>
        </w:rPr>
        <w:t xml:space="preserve">One provider is full-time, and one provider is part-time. </w:t>
      </w:r>
      <w:r w:rsidR="0083603F" w:rsidRPr="0097271B" w:rsidDel="00094A5F">
        <w:rPr>
          <w:rFonts w:ascii="Arial" w:hAnsi="Arial" w:cs="Arial"/>
          <w:strike/>
        </w:rPr>
        <w:t>Both providers only have practice locations within Siskiyou County.</w:t>
      </w:r>
      <w:r w:rsidR="0083603F" w:rsidRPr="0097271B" w:rsidDel="00094A5F">
        <w:rPr>
          <w:rFonts w:ascii="Arial" w:hAnsi="Arial" w:cs="Arial"/>
        </w:rPr>
        <w:t xml:space="preserve"> </w:t>
      </w:r>
      <w:r w:rsidRPr="0097271B">
        <w:rPr>
          <w:rFonts w:ascii="Arial" w:hAnsi="Arial" w:cs="Arial"/>
        </w:rPr>
        <w:t xml:space="preserve">The network in Siskiyou County has a total FTE value for the county of 0.32. With an enrollment of 400, the ratio for this county equals one FTE </w:t>
      </w:r>
      <w:r w:rsidR="003656CC" w:rsidRPr="0097271B">
        <w:rPr>
          <w:rFonts w:ascii="Arial" w:hAnsi="Arial" w:cs="Arial"/>
        </w:rPr>
        <w:t>C</w:t>
      </w:r>
      <w:r w:rsidRPr="0097271B">
        <w:rPr>
          <w:rFonts w:ascii="Arial" w:hAnsi="Arial" w:cs="Arial"/>
        </w:rPr>
        <w:t>ounseling MHP per 1,250 enrollees.</w:t>
      </w:r>
    </w:p>
    <w:p w14:paraId="3ED59FE0" w14:textId="1E7C8BDA" w:rsidR="00C662AE" w:rsidRPr="0097271B" w:rsidRDefault="00C662AE" w:rsidP="00583120">
      <w:pPr>
        <w:spacing w:after="240"/>
        <w:rPr>
          <w:rFonts w:ascii="Arial" w:hAnsi="Arial" w:cs="Arial"/>
          <w:b/>
        </w:rPr>
      </w:pPr>
      <w:r w:rsidRPr="0097271B">
        <w:rPr>
          <w:rFonts w:ascii="Arial" w:hAnsi="Arial" w:cs="Arial"/>
          <w:b/>
          <w:bCs/>
        </w:rPr>
        <w:t>Shasta County</w:t>
      </w:r>
    </w:p>
    <w:p w14:paraId="24632B5E" w14:textId="2CEB5909" w:rsidR="00C662AE" w:rsidRPr="0097271B" w:rsidRDefault="00C662AE" w:rsidP="00583120">
      <w:pPr>
        <w:spacing w:after="240"/>
        <w:rPr>
          <w:rFonts w:ascii="Arial" w:hAnsi="Arial" w:cs="Arial"/>
        </w:rPr>
      </w:pPr>
      <w:r w:rsidRPr="0097271B">
        <w:rPr>
          <w:rFonts w:ascii="Arial" w:hAnsi="Arial" w:cs="Arial"/>
        </w:rPr>
        <w:t xml:space="preserve">In the Shasta County example, the plan has reported 15 network </w:t>
      </w:r>
      <w:r w:rsidR="003656CC" w:rsidRPr="0097271B">
        <w:rPr>
          <w:rFonts w:ascii="Arial" w:hAnsi="Arial" w:cs="Arial"/>
        </w:rPr>
        <w:t>C</w:t>
      </w:r>
      <w:r w:rsidRPr="0097271B">
        <w:rPr>
          <w:rFonts w:ascii="Arial" w:hAnsi="Arial" w:cs="Arial"/>
        </w:rPr>
        <w:t>ounseling MHPs in Shasta County for the network being evaluated. Eight providers are full-time and only have practice locations within Shasta County. Four providers are part-time and only have practice locations within Shasta County. Three providers are full-time but have practice locations both within Shasta Count</w:t>
      </w:r>
      <w:r w:rsidR="000B651C" w:rsidRPr="00413445">
        <w:rPr>
          <w:rFonts w:ascii="Arial" w:hAnsi="Arial" w:cs="Arial"/>
          <w:u w:val="single"/>
        </w:rPr>
        <w:t>y</w:t>
      </w:r>
      <w:r w:rsidRPr="0097271B">
        <w:rPr>
          <w:rFonts w:ascii="Arial" w:hAnsi="Arial" w:cs="Arial"/>
        </w:rPr>
        <w:t xml:space="preserve"> and within other counties. The network in Shasta has a total FTE value of 1.69 network providers, and an enrollment of 3,000, representing a ratio of one FTE </w:t>
      </w:r>
      <w:r w:rsidR="003656CC" w:rsidRPr="0097271B">
        <w:rPr>
          <w:rFonts w:ascii="Arial" w:hAnsi="Arial" w:cs="Arial"/>
        </w:rPr>
        <w:t>C</w:t>
      </w:r>
      <w:r w:rsidRPr="0097271B">
        <w:rPr>
          <w:rFonts w:ascii="Arial" w:hAnsi="Arial" w:cs="Arial"/>
        </w:rPr>
        <w:t>ounseling MHP per 1,775 enrollees.</w:t>
      </w:r>
    </w:p>
    <w:p w14:paraId="547C56B4" w14:textId="4F32267B" w:rsidR="008D5ABF" w:rsidRPr="0097271B" w:rsidRDefault="00C662AE" w:rsidP="00583120">
      <w:pPr>
        <w:spacing w:after="240"/>
        <w:rPr>
          <w:rFonts w:ascii="Arial" w:hAnsi="Arial" w:cs="Arial"/>
        </w:rPr>
      </w:pPr>
      <w:r w:rsidRPr="0097271B">
        <w:rPr>
          <w:rFonts w:ascii="Arial" w:hAnsi="Arial" w:cs="Arial"/>
        </w:rPr>
        <w:t xml:space="preserve">See the </w:t>
      </w:r>
      <w:r w:rsidRPr="0097271B">
        <w:rPr>
          <w:rFonts w:ascii="Arial" w:hAnsi="Arial" w:cs="Arial"/>
          <w:strike/>
        </w:rPr>
        <w:t>chart</w:t>
      </w:r>
      <w:r w:rsidRPr="0097271B">
        <w:rPr>
          <w:rFonts w:ascii="Arial" w:hAnsi="Arial" w:cs="Arial"/>
        </w:rPr>
        <w:t xml:space="preserve"> </w:t>
      </w:r>
      <w:r w:rsidR="00E468E5" w:rsidRPr="0097271B">
        <w:rPr>
          <w:rFonts w:ascii="Arial" w:hAnsi="Arial" w:cs="Arial"/>
          <w:u w:val="single"/>
        </w:rPr>
        <w:t>table</w:t>
      </w:r>
      <w:r w:rsidR="00E468E5" w:rsidRPr="0097271B">
        <w:rPr>
          <w:rFonts w:ascii="Arial" w:hAnsi="Arial" w:cs="Arial"/>
        </w:rPr>
        <w:t xml:space="preserve"> </w:t>
      </w:r>
      <w:r w:rsidRPr="0097271B">
        <w:rPr>
          <w:rFonts w:ascii="Arial" w:hAnsi="Arial" w:cs="Arial"/>
        </w:rPr>
        <w:t>below to see how the total FTE value is calculated in each scenario.</w:t>
      </w:r>
    </w:p>
    <w:p w14:paraId="5067B936" w14:textId="796B301E" w:rsidR="00C662AE" w:rsidRPr="0097271B" w:rsidRDefault="00C662AE" w:rsidP="00583120">
      <w:pPr>
        <w:keepNext/>
        <w:spacing w:after="240"/>
        <w:rPr>
          <w:rFonts w:ascii="Arial" w:hAnsi="Arial" w:cs="Arial"/>
          <w:b/>
        </w:rPr>
      </w:pPr>
      <w:r w:rsidRPr="0097271B">
        <w:rPr>
          <w:rFonts w:ascii="Arial" w:hAnsi="Arial" w:cs="Arial"/>
          <w:b/>
          <w:bCs/>
        </w:rPr>
        <w:t>Table B: Example FTE Starting Values and Starting Value Adjustments</w:t>
      </w: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B"/>
        <w:tblDescription w:val="Table B: Example FTE Starting Values and Starting Value Adjustments"/>
      </w:tblPr>
      <w:tblGrid>
        <w:gridCol w:w="2325"/>
        <w:gridCol w:w="1134"/>
        <w:gridCol w:w="1350"/>
        <w:gridCol w:w="1307"/>
        <w:gridCol w:w="1256"/>
        <w:gridCol w:w="1190"/>
        <w:gridCol w:w="1349"/>
      </w:tblGrid>
      <w:tr w:rsidR="00C662AE" w:rsidRPr="0045472C" w14:paraId="608DB5BF" w14:textId="77777777" w:rsidTr="00CE7B13">
        <w:trPr>
          <w:trHeight w:val="422"/>
          <w:tblHeader/>
          <w:jc w:val="center"/>
        </w:trPr>
        <w:tc>
          <w:tcPr>
            <w:tcW w:w="2325" w:type="dxa"/>
            <w:tcBorders>
              <w:left w:val="single" w:sz="12" w:space="0" w:color="auto"/>
              <w:right w:val="single" w:sz="12" w:space="0" w:color="auto"/>
            </w:tcBorders>
            <w:shd w:val="clear" w:color="auto" w:fill="035530"/>
            <w:noWrap/>
            <w:vAlign w:val="center"/>
            <w:hideMark/>
          </w:tcPr>
          <w:p w14:paraId="363932F8" w14:textId="77777777" w:rsidR="00C662AE" w:rsidRPr="0045472C" w:rsidRDefault="00C662AE" w:rsidP="00583120">
            <w:pPr>
              <w:jc w:val="center"/>
              <w:rPr>
                <w:rFonts w:ascii="Arial" w:hAnsi="Arial" w:cs="Arial"/>
                <w:color w:val="FFFFFF" w:themeColor="background1"/>
              </w:rPr>
            </w:pPr>
          </w:p>
        </w:tc>
        <w:tc>
          <w:tcPr>
            <w:tcW w:w="3791" w:type="dxa"/>
            <w:gridSpan w:val="3"/>
            <w:tcBorders>
              <w:left w:val="single" w:sz="12" w:space="0" w:color="auto"/>
              <w:right w:val="single" w:sz="12" w:space="0" w:color="auto"/>
            </w:tcBorders>
            <w:shd w:val="clear" w:color="auto" w:fill="035530"/>
            <w:noWrap/>
            <w:vAlign w:val="center"/>
            <w:hideMark/>
          </w:tcPr>
          <w:p w14:paraId="4B653294" w14:textId="77777777" w:rsidR="00C662AE" w:rsidRPr="0045472C" w:rsidRDefault="00C662AE" w:rsidP="00583120">
            <w:pPr>
              <w:jc w:val="center"/>
              <w:rPr>
                <w:rFonts w:ascii="Arial" w:hAnsi="Arial" w:cs="Arial"/>
                <w:b/>
                <w:color w:val="FFFFFF" w:themeColor="background1"/>
              </w:rPr>
            </w:pPr>
            <w:r w:rsidRPr="0045472C">
              <w:rPr>
                <w:rFonts w:ascii="Arial" w:hAnsi="Arial" w:cs="Arial"/>
                <w:b/>
                <w:color w:val="FFFFFF" w:themeColor="background1"/>
              </w:rPr>
              <w:t>Siskiyou (CEAC)</w:t>
            </w:r>
          </w:p>
        </w:tc>
        <w:tc>
          <w:tcPr>
            <w:tcW w:w="3795" w:type="dxa"/>
            <w:gridSpan w:val="3"/>
            <w:tcBorders>
              <w:left w:val="single" w:sz="12" w:space="0" w:color="auto"/>
              <w:right w:val="single" w:sz="12" w:space="0" w:color="auto"/>
            </w:tcBorders>
            <w:shd w:val="clear" w:color="auto" w:fill="035530"/>
            <w:noWrap/>
            <w:vAlign w:val="center"/>
            <w:hideMark/>
          </w:tcPr>
          <w:p w14:paraId="0452337B" w14:textId="77777777" w:rsidR="00C662AE" w:rsidRPr="0045472C" w:rsidRDefault="00C662AE" w:rsidP="00583120">
            <w:pPr>
              <w:jc w:val="center"/>
              <w:rPr>
                <w:rFonts w:ascii="Arial" w:hAnsi="Arial" w:cs="Arial"/>
                <w:b/>
                <w:color w:val="FFFFFF" w:themeColor="background1"/>
              </w:rPr>
            </w:pPr>
            <w:r w:rsidRPr="0045472C">
              <w:rPr>
                <w:rFonts w:ascii="Arial" w:hAnsi="Arial" w:cs="Arial"/>
                <w:b/>
                <w:color w:val="FFFFFF" w:themeColor="background1"/>
              </w:rPr>
              <w:t>Shasta (Micro)</w:t>
            </w:r>
          </w:p>
        </w:tc>
      </w:tr>
      <w:tr w:rsidR="00C662AE" w:rsidRPr="0045472C" w14:paraId="71148D3E" w14:textId="77777777" w:rsidTr="00CE7B13">
        <w:trPr>
          <w:trHeight w:val="20"/>
          <w:tblHeader/>
          <w:jc w:val="center"/>
        </w:trPr>
        <w:tc>
          <w:tcPr>
            <w:tcW w:w="2325" w:type="dxa"/>
            <w:tcBorders>
              <w:left w:val="single" w:sz="12" w:space="0" w:color="auto"/>
              <w:right w:val="single" w:sz="12" w:space="0" w:color="auto"/>
            </w:tcBorders>
            <w:shd w:val="clear" w:color="auto" w:fill="035530"/>
            <w:noWrap/>
            <w:vAlign w:val="center"/>
            <w:hideMark/>
          </w:tcPr>
          <w:p w14:paraId="378245D7" w14:textId="77777777" w:rsidR="00C662AE" w:rsidRPr="0045472C" w:rsidRDefault="00C662AE" w:rsidP="00583120">
            <w:pPr>
              <w:jc w:val="center"/>
              <w:rPr>
                <w:rFonts w:ascii="Arial" w:hAnsi="Arial" w:cs="Arial"/>
                <w:b/>
                <w:color w:val="FFFFFF" w:themeColor="background1"/>
              </w:rPr>
            </w:pPr>
            <w:r w:rsidRPr="0045472C">
              <w:rPr>
                <w:rFonts w:ascii="Arial" w:hAnsi="Arial" w:cs="Arial"/>
                <w:b/>
                <w:color w:val="FFFFFF" w:themeColor="background1"/>
              </w:rPr>
              <w:t>Network Provider Classification</w:t>
            </w:r>
          </w:p>
        </w:tc>
        <w:tc>
          <w:tcPr>
            <w:tcW w:w="1134" w:type="dxa"/>
            <w:tcBorders>
              <w:left w:val="single" w:sz="12" w:space="0" w:color="auto"/>
            </w:tcBorders>
            <w:shd w:val="clear" w:color="auto" w:fill="035530"/>
            <w:vAlign w:val="center"/>
            <w:hideMark/>
          </w:tcPr>
          <w:p w14:paraId="1BBE20B3" w14:textId="4E7E1947" w:rsidR="00C662AE" w:rsidRPr="0045472C" w:rsidRDefault="00C662AE" w:rsidP="00583120">
            <w:pPr>
              <w:jc w:val="center"/>
              <w:rPr>
                <w:rFonts w:ascii="Arial" w:hAnsi="Arial" w:cs="Arial"/>
                <w:b/>
                <w:color w:val="FFFFFF" w:themeColor="background1"/>
              </w:rPr>
            </w:pPr>
            <w:r w:rsidRPr="0045472C">
              <w:rPr>
                <w:rFonts w:ascii="Arial" w:hAnsi="Arial" w:cs="Arial"/>
                <w:b/>
                <w:color w:val="FFFFFF" w:themeColor="background1"/>
              </w:rPr>
              <w:t>FTE Value</w:t>
            </w:r>
            <w:r w:rsidR="00D93092" w:rsidRPr="00377971">
              <w:rPr>
                <w:rFonts w:ascii="Arial" w:hAnsi="Arial" w:cs="Arial"/>
                <w:b/>
                <w:color w:val="FFFFFF" w:themeColor="background1"/>
                <w:u w:val="single"/>
              </w:rPr>
              <w:t>**</w:t>
            </w:r>
          </w:p>
        </w:tc>
        <w:tc>
          <w:tcPr>
            <w:tcW w:w="1350" w:type="dxa"/>
            <w:shd w:val="clear" w:color="auto" w:fill="035530"/>
            <w:vAlign w:val="center"/>
            <w:hideMark/>
          </w:tcPr>
          <w:p w14:paraId="67F93377" w14:textId="77777777" w:rsidR="00C662AE" w:rsidRPr="0045472C" w:rsidRDefault="00C662AE" w:rsidP="00583120">
            <w:pPr>
              <w:jc w:val="center"/>
              <w:rPr>
                <w:rFonts w:ascii="Arial" w:hAnsi="Arial" w:cs="Arial"/>
                <w:b/>
                <w:color w:val="FFFFFF" w:themeColor="background1"/>
              </w:rPr>
            </w:pPr>
            <w:r w:rsidRPr="0045472C">
              <w:rPr>
                <w:rFonts w:ascii="Arial" w:hAnsi="Arial" w:cs="Arial"/>
                <w:b/>
                <w:bCs/>
                <w:color w:val="FFFFFF" w:themeColor="background1"/>
              </w:rPr>
              <w:t xml:space="preserve">Full-Value </w:t>
            </w:r>
            <w:r w:rsidRPr="0045472C">
              <w:rPr>
                <w:rFonts w:ascii="Arial" w:hAnsi="Arial" w:cs="Arial"/>
                <w:b/>
                <w:color w:val="FFFFFF" w:themeColor="background1"/>
              </w:rPr>
              <w:t>Provider Count*</w:t>
            </w:r>
          </w:p>
        </w:tc>
        <w:tc>
          <w:tcPr>
            <w:tcW w:w="1307" w:type="dxa"/>
            <w:tcBorders>
              <w:right w:val="single" w:sz="12" w:space="0" w:color="auto"/>
            </w:tcBorders>
            <w:shd w:val="clear" w:color="auto" w:fill="035530"/>
            <w:vAlign w:val="center"/>
            <w:hideMark/>
          </w:tcPr>
          <w:p w14:paraId="5E383E29" w14:textId="77777777" w:rsidR="00C662AE" w:rsidRPr="0045472C" w:rsidRDefault="00C662AE" w:rsidP="00583120">
            <w:pPr>
              <w:jc w:val="center"/>
              <w:rPr>
                <w:rFonts w:ascii="Arial" w:hAnsi="Arial" w:cs="Arial"/>
                <w:b/>
                <w:color w:val="FFFFFF" w:themeColor="background1"/>
              </w:rPr>
            </w:pPr>
            <w:r w:rsidRPr="0045472C">
              <w:rPr>
                <w:rFonts w:ascii="Arial" w:hAnsi="Arial" w:cs="Arial"/>
                <w:b/>
                <w:color w:val="FFFFFF" w:themeColor="background1"/>
              </w:rPr>
              <w:t>Summed FTEs</w:t>
            </w:r>
          </w:p>
        </w:tc>
        <w:tc>
          <w:tcPr>
            <w:tcW w:w="1256" w:type="dxa"/>
            <w:tcBorders>
              <w:left w:val="single" w:sz="12" w:space="0" w:color="auto"/>
            </w:tcBorders>
            <w:shd w:val="clear" w:color="auto" w:fill="035530"/>
            <w:vAlign w:val="center"/>
            <w:hideMark/>
          </w:tcPr>
          <w:p w14:paraId="2EB5943F" w14:textId="77777777" w:rsidR="00C662AE" w:rsidRPr="0045472C" w:rsidRDefault="00C662AE" w:rsidP="00583120">
            <w:pPr>
              <w:jc w:val="center"/>
              <w:rPr>
                <w:rFonts w:ascii="Arial" w:hAnsi="Arial" w:cs="Arial"/>
                <w:b/>
                <w:color w:val="FFFFFF" w:themeColor="background1"/>
              </w:rPr>
            </w:pPr>
            <w:r w:rsidRPr="0045472C">
              <w:rPr>
                <w:rFonts w:ascii="Arial" w:hAnsi="Arial" w:cs="Arial"/>
                <w:b/>
                <w:color w:val="FFFFFF" w:themeColor="background1"/>
              </w:rPr>
              <w:t>FTE Value</w:t>
            </w:r>
          </w:p>
        </w:tc>
        <w:tc>
          <w:tcPr>
            <w:tcW w:w="1190" w:type="dxa"/>
            <w:shd w:val="clear" w:color="auto" w:fill="035530"/>
            <w:vAlign w:val="center"/>
            <w:hideMark/>
          </w:tcPr>
          <w:p w14:paraId="0704F734" w14:textId="77777777" w:rsidR="00C662AE" w:rsidRPr="0045472C" w:rsidRDefault="00C662AE" w:rsidP="00583120">
            <w:pPr>
              <w:jc w:val="center"/>
              <w:rPr>
                <w:rFonts w:ascii="Arial" w:hAnsi="Arial" w:cs="Arial"/>
                <w:b/>
                <w:color w:val="FFFFFF" w:themeColor="background1"/>
              </w:rPr>
            </w:pPr>
            <w:r w:rsidRPr="0045472C">
              <w:rPr>
                <w:rFonts w:ascii="Arial" w:hAnsi="Arial" w:cs="Arial"/>
                <w:b/>
                <w:bCs/>
                <w:color w:val="FFFFFF" w:themeColor="background1"/>
              </w:rPr>
              <w:t xml:space="preserve">Full-Value Provider </w:t>
            </w:r>
            <w:r w:rsidRPr="0045472C">
              <w:rPr>
                <w:rFonts w:ascii="Arial" w:hAnsi="Arial" w:cs="Arial"/>
                <w:b/>
                <w:color w:val="FFFFFF" w:themeColor="background1"/>
              </w:rPr>
              <w:t>Count</w:t>
            </w:r>
          </w:p>
        </w:tc>
        <w:tc>
          <w:tcPr>
            <w:tcW w:w="1349" w:type="dxa"/>
            <w:tcBorders>
              <w:right w:val="single" w:sz="12" w:space="0" w:color="auto"/>
            </w:tcBorders>
            <w:shd w:val="clear" w:color="auto" w:fill="035530"/>
            <w:vAlign w:val="center"/>
            <w:hideMark/>
          </w:tcPr>
          <w:p w14:paraId="648C2FD9" w14:textId="77777777" w:rsidR="00C662AE" w:rsidRPr="0045472C" w:rsidRDefault="00C662AE" w:rsidP="00583120">
            <w:pPr>
              <w:jc w:val="center"/>
              <w:rPr>
                <w:rFonts w:ascii="Arial" w:hAnsi="Arial" w:cs="Arial"/>
                <w:b/>
                <w:color w:val="FFFFFF" w:themeColor="background1"/>
              </w:rPr>
            </w:pPr>
            <w:r w:rsidRPr="0045472C">
              <w:rPr>
                <w:rFonts w:ascii="Arial" w:hAnsi="Arial" w:cs="Arial"/>
                <w:b/>
                <w:color w:val="FFFFFF" w:themeColor="background1"/>
              </w:rPr>
              <w:t>Summed FTEs</w:t>
            </w:r>
          </w:p>
        </w:tc>
      </w:tr>
      <w:tr w:rsidR="00C662AE" w:rsidRPr="0045472C" w14:paraId="5EC03403" w14:textId="77777777" w:rsidTr="00CE7B13">
        <w:trPr>
          <w:trHeight w:val="720"/>
          <w:jc w:val="center"/>
        </w:trPr>
        <w:tc>
          <w:tcPr>
            <w:tcW w:w="2325" w:type="dxa"/>
            <w:tcBorders>
              <w:left w:val="single" w:sz="12" w:space="0" w:color="auto"/>
              <w:right w:val="single" w:sz="12" w:space="0" w:color="auto"/>
            </w:tcBorders>
            <w:noWrap/>
            <w:vAlign w:val="center"/>
            <w:hideMark/>
          </w:tcPr>
          <w:p w14:paraId="3C7B7591" w14:textId="77777777" w:rsidR="00C662AE" w:rsidRPr="0045472C" w:rsidRDefault="00C662AE" w:rsidP="00583120">
            <w:pPr>
              <w:jc w:val="center"/>
              <w:rPr>
                <w:rFonts w:ascii="Arial" w:hAnsi="Arial" w:cs="Arial"/>
                <w:color w:val="000000"/>
              </w:rPr>
            </w:pPr>
            <w:r w:rsidRPr="0045472C">
              <w:rPr>
                <w:rFonts w:ascii="Arial" w:hAnsi="Arial" w:cs="Arial"/>
                <w:color w:val="000000"/>
              </w:rPr>
              <w:t>Full-time, Single-County</w:t>
            </w:r>
          </w:p>
        </w:tc>
        <w:tc>
          <w:tcPr>
            <w:tcW w:w="1134" w:type="dxa"/>
            <w:tcBorders>
              <w:left w:val="single" w:sz="12" w:space="0" w:color="auto"/>
            </w:tcBorders>
            <w:vAlign w:val="center"/>
            <w:hideMark/>
          </w:tcPr>
          <w:p w14:paraId="675A00D5" w14:textId="77777777" w:rsidR="00C662AE" w:rsidRPr="0045472C" w:rsidRDefault="00C662AE" w:rsidP="00583120">
            <w:pPr>
              <w:jc w:val="center"/>
              <w:rPr>
                <w:rFonts w:ascii="Arial" w:hAnsi="Arial" w:cs="Arial"/>
                <w:color w:val="000000"/>
              </w:rPr>
            </w:pPr>
            <w:r w:rsidRPr="0045472C">
              <w:rPr>
                <w:rFonts w:ascii="Arial" w:hAnsi="Arial" w:cs="Arial"/>
                <w:color w:val="000000"/>
              </w:rPr>
              <w:t>0.2</w:t>
            </w:r>
          </w:p>
        </w:tc>
        <w:tc>
          <w:tcPr>
            <w:tcW w:w="1350" w:type="dxa"/>
            <w:vAlign w:val="center"/>
            <w:hideMark/>
          </w:tcPr>
          <w:p w14:paraId="02DEDE53" w14:textId="77777777" w:rsidR="00C662AE" w:rsidRPr="0045472C" w:rsidRDefault="00C662AE" w:rsidP="00583120">
            <w:pPr>
              <w:jc w:val="center"/>
              <w:rPr>
                <w:rFonts w:ascii="Arial" w:hAnsi="Arial" w:cs="Arial"/>
                <w:color w:val="000000"/>
              </w:rPr>
            </w:pPr>
            <w:r w:rsidRPr="0045472C">
              <w:rPr>
                <w:rFonts w:ascii="Arial" w:hAnsi="Arial" w:cs="Arial"/>
                <w:color w:val="000000"/>
              </w:rPr>
              <w:t>1</w:t>
            </w:r>
          </w:p>
        </w:tc>
        <w:tc>
          <w:tcPr>
            <w:tcW w:w="1307" w:type="dxa"/>
            <w:tcBorders>
              <w:right w:val="single" w:sz="12" w:space="0" w:color="auto"/>
            </w:tcBorders>
            <w:vAlign w:val="center"/>
            <w:hideMark/>
          </w:tcPr>
          <w:p w14:paraId="3B03BBB1" w14:textId="77777777" w:rsidR="00C662AE" w:rsidRPr="0045472C" w:rsidRDefault="00C662AE" w:rsidP="00583120">
            <w:pPr>
              <w:jc w:val="center"/>
              <w:rPr>
                <w:rFonts w:ascii="Arial" w:hAnsi="Arial" w:cs="Arial"/>
                <w:color w:val="000000"/>
              </w:rPr>
            </w:pPr>
            <w:r w:rsidRPr="0045472C">
              <w:rPr>
                <w:rFonts w:ascii="Arial" w:hAnsi="Arial" w:cs="Arial"/>
                <w:color w:val="000000"/>
              </w:rPr>
              <w:t>0.2</w:t>
            </w:r>
          </w:p>
        </w:tc>
        <w:tc>
          <w:tcPr>
            <w:tcW w:w="1256" w:type="dxa"/>
            <w:tcBorders>
              <w:left w:val="single" w:sz="12" w:space="0" w:color="auto"/>
            </w:tcBorders>
            <w:vAlign w:val="center"/>
            <w:hideMark/>
          </w:tcPr>
          <w:p w14:paraId="19444F38" w14:textId="77777777" w:rsidR="00C662AE" w:rsidRPr="0045472C" w:rsidRDefault="00C662AE" w:rsidP="00583120">
            <w:pPr>
              <w:jc w:val="center"/>
              <w:rPr>
                <w:rFonts w:ascii="Arial" w:hAnsi="Arial" w:cs="Arial"/>
                <w:color w:val="000000"/>
              </w:rPr>
            </w:pPr>
            <w:r w:rsidRPr="0045472C">
              <w:rPr>
                <w:rFonts w:ascii="Arial" w:hAnsi="Arial" w:cs="Arial"/>
                <w:color w:val="000000"/>
              </w:rPr>
              <w:t>0.14</w:t>
            </w:r>
          </w:p>
        </w:tc>
        <w:tc>
          <w:tcPr>
            <w:tcW w:w="1190" w:type="dxa"/>
            <w:vAlign w:val="center"/>
            <w:hideMark/>
          </w:tcPr>
          <w:p w14:paraId="6C9FE09F" w14:textId="77777777" w:rsidR="00C662AE" w:rsidRPr="0045472C" w:rsidRDefault="00C662AE" w:rsidP="00583120">
            <w:pPr>
              <w:jc w:val="center"/>
              <w:rPr>
                <w:rFonts w:ascii="Arial" w:hAnsi="Arial" w:cs="Arial"/>
                <w:color w:val="000000"/>
              </w:rPr>
            </w:pPr>
            <w:r w:rsidRPr="0045472C">
              <w:rPr>
                <w:rFonts w:ascii="Arial" w:hAnsi="Arial" w:cs="Arial"/>
                <w:color w:val="000000"/>
              </w:rPr>
              <w:t>8</w:t>
            </w:r>
          </w:p>
        </w:tc>
        <w:tc>
          <w:tcPr>
            <w:tcW w:w="1349" w:type="dxa"/>
            <w:tcBorders>
              <w:right w:val="single" w:sz="12" w:space="0" w:color="auto"/>
            </w:tcBorders>
            <w:vAlign w:val="center"/>
            <w:hideMark/>
          </w:tcPr>
          <w:p w14:paraId="4C792654" w14:textId="77777777" w:rsidR="00C662AE" w:rsidRPr="0045472C" w:rsidRDefault="00C662AE" w:rsidP="00583120">
            <w:pPr>
              <w:jc w:val="center"/>
              <w:rPr>
                <w:rFonts w:ascii="Arial" w:hAnsi="Arial" w:cs="Arial"/>
                <w:color w:val="000000"/>
              </w:rPr>
            </w:pPr>
            <w:r w:rsidRPr="0045472C">
              <w:rPr>
                <w:rFonts w:ascii="Arial" w:hAnsi="Arial" w:cs="Arial"/>
                <w:color w:val="000000"/>
              </w:rPr>
              <w:t>1.12</w:t>
            </w:r>
          </w:p>
        </w:tc>
      </w:tr>
      <w:tr w:rsidR="00C662AE" w:rsidRPr="0045472C" w14:paraId="4A1DE38E" w14:textId="77777777" w:rsidTr="00CE7B13">
        <w:trPr>
          <w:trHeight w:val="720"/>
          <w:jc w:val="center"/>
        </w:trPr>
        <w:tc>
          <w:tcPr>
            <w:tcW w:w="2325" w:type="dxa"/>
            <w:tcBorders>
              <w:left w:val="single" w:sz="12" w:space="0" w:color="auto"/>
              <w:right w:val="single" w:sz="12" w:space="0" w:color="auto"/>
            </w:tcBorders>
            <w:noWrap/>
            <w:vAlign w:val="center"/>
            <w:hideMark/>
          </w:tcPr>
          <w:p w14:paraId="0E984C95" w14:textId="77777777" w:rsidR="00C662AE" w:rsidRPr="0045472C" w:rsidRDefault="00C662AE" w:rsidP="00583120">
            <w:pPr>
              <w:jc w:val="center"/>
              <w:rPr>
                <w:rFonts w:ascii="Arial" w:hAnsi="Arial" w:cs="Arial"/>
                <w:color w:val="000000"/>
              </w:rPr>
            </w:pPr>
            <w:r w:rsidRPr="0045472C">
              <w:rPr>
                <w:rFonts w:ascii="Arial" w:hAnsi="Arial" w:cs="Arial"/>
                <w:color w:val="000000"/>
              </w:rPr>
              <w:t>Part-time, Single-County</w:t>
            </w:r>
          </w:p>
        </w:tc>
        <w:tc>
          <w:tcPr>
            <w:tcW w:w="1134" w:type="dxa"/>
            <w:tcBorders>
              <w:left w:val="single" w:sz="12" w:space="0" w:color="auto"/>
            </w:tcBorders>
            <w:vAlign w:val="center"/>
            <w:hideMark/>
          </w:tcPr>
          <w:p w14:paraId="03BE9C6A" w14:textId="77777777" w:rsidR="00C662AE" w:rsidRPr="0045472C" w:rsidRDefault="00C662AE" w:rsidP="00583120">
            <w:pPr>
              <w:jc w:val="center"/>
              <w:rPr>
                <w:rFonts w:ascii="Arial" w:hAnsi="Arial" w:cs="Arial"/>
                <w:color w:val="000000"/>
              </w:rPr>
            </w:pPr>
            <w:r w:rsidRPr="0045472C">
              <w:rPr>
                <w:rFonts w:ascii="Arial" w:hAnsi="Arial" w:cs="Arial"/>
                <w:color w:val="000000"/>
              </w:rPr>
              <w:t>0.12</w:t>
            </w:r>
          </w:p>
        </w:tc>
        <w:tc>
          <w:tcPr>
            <w:tcW w:w="1350" w:type="dxa"/>
            <w:vAlign w:val="center"/>
            <w:hideMark/>
          </w:tcPr>
          <w:p w14:paraId="42834F65" w14:textId="77777777" w:rsidR="00C662AE" w:rsidRPr="0045472C" w:rsidRDefault="00C662AE" w:rsidP="00583120">
            <w:pPr>
              <w:jc w:val="center"/>
              <w:rPr>
                <w:rFonts w:ascii="Arial" w:hAnsi="Arial" w:cs="Arial"/>
                <w:color w:val="000000"/>
              </w:rPr>
            </w:pPr>
            <w:r w:rsidRPr="0045472C">
              <w:rPr>
                <w:rFonts w:ascii="Arial" w:hAnsi="Arial" w:cs="Arial"/>
                <w:color w:val="000000"/>
              </w:rPr>
              <w:t>1</w:t>
            </w:r>
          </w:p>
        </w:tc>
        <w:tc>
          <w:tcPr>
            <w:tcW w:w="1307" w:type="dxa"/>
            <w:tcBorders>
              <w:right w:val="single" w:sz="12" w:space="0" w:color="auto"/>
            </w:tcBorders>
            <w:vAlign w:val="center"/>
            <w:hideMark/>
          </w:tcPr>
          <w:p w14:paraId="4289BB12" w14:textId="77777777" w:rsidR="00C662AE" w:rsidRPr="0045472C" w:rsidRDefault="00C662AE" w:rsidP="00583120">
            <w:pPr>
              <w:jc w:val="center"/>
              <w:rPr>
                <w:rFonts w:ascii="Arial" w:hAnsi="Arial" w:cs="Arial"/>
                <w:color w:val="000000"/>
              </w:rPr>
            </w:pPr>
            <w:r w:rsidRPr="0045472C">
              <w:rPr>
                <w:rFonts w:ascii="Arial" w:hAnsi="Arial" w:cs="Arial"/>
                <w:color w:val="000000"/>
              </w:rPr>
              <w:t>0.12</w:t>
            </w:r>
          </w:p>
        </w:tc>
        <w:tc>
          <w:tcPr>
            <w:tcW w:w="1256" w:type="dxa"/>
            <w:tcBorders>
              <w:left w:val="single" w:sz="12" w:space="0" w:color="auto"/>
            </w:tcBorders>
            <w:vAlign w:val="center"/>
            <w:hideMark/>
          </w:tcPr>
          <w:p w14:paraId="38DA722A" w14:textId="77777777" w:rsidR="00C662AE" w:rsidRPr="0045472C" w:rsidRDefault="00C662AE" w:rsidP="00583120">
            <w:pPr>
              <w:jc w:val="center"/>
              <w:rPr>
                <w:rFonts w:ascii="Arial" w:hAnsi="Arial" w:cs="Arial"/>
                <w:color w:val="000000"/>
              </w:rPr>
            </w:pPr>
            <w:r w:rsidRPr="0045472C">
              <w:rPr>
                <w:rFonts w:ascii="Arial" w:hAnsi="Arial" w:cs="Arial"/>
                <w:color w:val="000000"/>
              </w:rPr>
              <w:t>0.09</w:t>
            </w:r>
          </w:p>
        </w:tc>
        <w:tc>
          <w:tcPr>
            <w:tcW w:w="1190" w:type="dxa"/>
            <w:vAlign w:val="center"/>
            <w:hideMark/>
          </w:tcPr>
          <w:p w14:paraId="2F5A79D2" w14:textId="77777777" w:rsidR="00C662AE" w:rsidRPr="0045472C" w:rsidRDefault="00C662AE" w:rsidP="00583120">
            <w:pPr>
              <w:jc w:val="center"/>
              <w:rPr>
                <w:rFonts w:ascii="Arial" w:hAnsi="Arial" w:cs="Arial"/>
                <w:color w:val="000000"/>
              </w:rPr>
            </w:pPr>
            <w:r w:rsidRPr="0045472C">
              <w:rPr>
                <w:rFonts w:ascii="Arial" w:hAnsi="Arial" w:cs="Arial"/>
                <w:color w:val="000000"/>
              </w:rPr>
              <w:t>4</w:t>
            </w:r>
          </w:p>
        </w:tc>
        <w:tc>
          <w:tcPr>
            <w:tcW w:w="1349" w:type="dxa"/>
            <w:tcBorders>
              <w:right w:val="single" w:sz="12" w:space="0" w:color="auto"/>
            </w:tcBorders>
            <w:vAlign w:val="center"/>
            <w:hideMark/>
          </w:tcPr>
          <w:p w14:paraId="3D00287C" w14:textId="77777777" w:rsidR="00C662AE" w:rsidRPr="0045472C" w:rsidRDefault="00C662AE" w:rsidP="00583120">
            <w:pPr>
              <w:jc w:val="center"/>
              <w:rPr>
                <w:rFonts w:ascii="Arial" w:hAnsi="Arial" w:cs="Arial"/>
                <w:color w:val="000000"/>
              </w:rPr>
            </w:pPr>
            <w:r w:rsidRPr="0045472C">
              <w:rPr>
                <w:rFonts w:ascii="Arial" w:hAnsi="Arial" w:cs="Arial"/>
                <w:color w:val="000000"/>
              </w:rPr>
              <w:t>0.36</w:t>
            </w:r>
          </w:p>
        </w:tc>
      </w:tr>
      <w:tr w:rsidR="00C662AE" w:rsidRPr="0045472C" w14:paraId="667CDCA8" w14:textId="77777777" w:rsidTr="00CE7B13">
        <w:trPr>
          <w:trHeight w:val="720"/>
          <w:jc w:val="center"/>
        </w:trPr>
        <w:tc>
          <w:tcPr>
            <w:tcW w:w="2325" w:type="dxa"/>
            <w:tcBorders>
              <w:left w:val="single" w:sz="12" w:space="0" w:color="auto"/>
              <w:right w:val="single" w:sz="12" w:space="0" w:color="auto"/>
            </w:tcBorders>
            <w:noWrap/>
            <w:vAlign w:val="center"/>
            <w:hideMark/>
          </w:tcPr>
          <w:p w14:paraId="77AF9580" w14:textId="77777777" w:rsidR="00C662AE" w:rsidRPr="0045472C" w:rsidRDefault="00C662AE" w:rsidP="00583120">
            <w:pPr>
              <w:jc w:val="center"/>
              <w:rPr>
                <w:rFonts w:ascii="Arial" w:hAnsi="Arial" w:cs="Arial"/>
                <w:color w:val="000000"/>
              </w:rPr>
            </w:pPr>
            <w:r w:rsidRPr="0045472C">
              <w:rPr>
                <w:rFonts w:ascii="Arial" w:hAnsi="Arial" w:cs="Arial"/>
                <w:color w:val="000000"/>
              </w:rPr>
              <w:t>Full-time, Multi-County</w:t>
            </w:r>
          </w:p>
        </w:tc>
        <w:tc>
          <w:tcPr>
            <w:tcW w:w="1134" w:type="dxa"/>
            <w:tcBorders>
              <w:left w:val="single" w:sz="12" w:space="0" w:color="auto"/>
            </w:tcBorders>
            <w:vAlign w:val="center"/>
            <w:hideMark/>
          </w:tcPr>
          <w:p w14:paraId="26074451" w14:textId="77777777" w:rsidR="00C662AE" w:rsidRPr="00FD00C2" w:rsidRDefault="00C662AE" w:rsidP="00583120">
            <w:pPr>
              <w:jc w:val="center"/>
              <w:rPr>
                <w:rFonts w:ascii="Arial" w:hAnsi="Arial" w:cs="Arial"/>
              </w:rPr>
            </w:pPr>
            <w:r w:rsidRPr="00FD00C2">
              <w:rPr>
                <w:rFonts w:ascii="Arial" w:hAnsi="Arial" w:cs="Arial"/>
              </w:rPr>
              <w:t>0.1</w:t>
            </w:r>
          </w:p>
        </w:tc>
        <w:tc>
          <w:tcPr>
            <w:tcW w:w="1350" w:type="dxa"/>
            <w:vAlign w:val="center"/>
            <w:hideMark/>
          </w:tcPr>
          <w:p w14:paraId="7FD491CB" w14:textId="77777777" w:rsidR="00C662AE" w:rsidRPr="00FD00C2" w:rsidRDefault="00C662AE" w:rsidP="00583120">
            <w:pPr>
              <w:jc w:val="center"/>
              <w:rPr>
                <w:rFonts w:ascii="Arial" w:hAnsi="Arial" w:cs="Arial"/>
              </w:rPr>
            </w:pPr>
            <w:r w:rsidRPr="00FD00C2">
              <w:rPr>
                <w:rFonts w:ascii="Arial" w:hAnsi="Arial" w:cs="Arial"/>
              </w:rPr>
              <w:t>0</w:t>
            </w:r>
          </w:p>
        </w:tc>
        <w:tc>
          <w:tcPr>
            <w:tcW w:w="1307" w:type="dxa"/>
            <w:tcBorders>
              <w:right w:val="single" w:sz="12" w:space="0" w:color="auto"/>
            </w:tcBorders>
            <w:vAlign w:val="center"/>
            <w:hideMark/>
          </w:tcPr>
          <w:p w14:paraId="18EA05B2" w14:textId="77777777" w:rsidR="00C662AE" w:rsidRPr="00FD00C2" w:rsidRDefault="00C662AE" w:rsidP="00583120">
            <w:pPr>
              <w:jc w:val="center"/>
              <w:rPr>
                <w:rFonts w:ascii="Arial" w:hAnsi="Arial" w:cs="Arial"/>
              </w:rPr>
            </w:pPr>
            <w:r w:rsidRPr="00FD00C2">
              <w:rPr>
                <w:rFonts w:ascii="Arial" w:hAnsi="Arial" w:cs="Arial"/>
              </w:rPr>
              <w:t>0</w:t>
            </w:r>
          </w:p>
        </w:tc>
        <w:tc>
          <w:tcPr>
            <w:tcW w:w="1256" w:type="dxa"/>
            <w:tcBorders>
              <w:left w:val="single" w:sz="12" w:space="0" w:color="auto"/>
            </w:tcBorders>
            <w:vAlign w:val="center"/>
            <w:hideMark/>
          </w:tcPr>
          <w:p w14:paraId="64E93555" w14:textId="77777777" w:rsidR="00C662AE" w:rsidRPr="00FD00C2" w:rsidRDefault="00C662AE" w:rsidP="00583120">
            <w:pPr>
              <w:jc w:val="center"/>
              <w:rPr>
                <w:rFonts w:ascii="Arial" w:hAnsi="Arial" w:cs="Arial"/>
              </w:rPr>
            </w:pPr>
            <w:r w:rsidRPr="00FD00C2">
              <w:rPr>
                <w:rFonts w:ascii="Arial" w:hAnsi="Arial" w:cs="Arial"/>
              </w:rPr>
              <w:t>0.07</w:t>
            </w:r>
          </w:p>
        </w:tc>
        <w:tc>
          <w:tcPr>
            <w:tcW w:w="1190" w:type="dxa"/>
            <w:vAlign w:val="center"/>
            <w:hideMark/>
          </w:tcPr>
          <w:p w14:paraId="61AFFC82" w14:textId="77777777" w:rsidR="00C662AE" w:rsidRPr="0045472C" w:rsidRDefault="00C662AE" w:rsidP="00583120">
            <w:pPr>
              <w:jc w:val="center"/>
              <w:rPr>
                <w:rFonts w:ascii="Arial" w:hAnsi="Arial" w:cs="Arial"/>
                <w:color w:val="000000"/>
              </w:rPr>
            </w:pPr>
            <w:r w:rsidRPr="0045472C">
              <w:rPr>
                <w:rFonts w:ascii="Arial" w:hAnsi="Arial" w:cs="Arial"/>
                <w:color w:val="000000"/>
              </w:rPr>
              <w:t>3</w:t>
            </w:r>
          </w:p>
        </w:tc>
        <w:tc>
          <w:tcPr>
            <w:tcW w:w="1349" w:type="dxa"/>
            <w:tcBorders>
              <w:right w:val="single" w:sz="12" w:space="0" w:color="auto"/>
            </w:tcBorders>
            <w:vAlign w:val="center"/>
            <w:hideMark/>
          </w:tcPr>
          <w:p w14:paraId="3776E004" w14:textId="77777777" w:rsidR="00C662AE" w:rsidRPr="0045472C" w:rsidRDefault="00C662AE" w:rsidP="00583120">
            <w:pPr>
              <w:jc w:val="center"/>
              <w:rPr>
                <w:rFonts w:ascii="Arial" w:hAnsi="Arial" w:cs="Arial"/>
                <w:color w:val="000000"/>
              </w:rPr>
            </w:pPr>
            <w:r w:rsidRPr="0045472C">
              <w:rPr>
                <w:rFonts w:ascii="Arial" w:hAnsi="Arial" w:cs="Arial"/>
                <w:color w:val="000000"/>
              </w:rPr>
              <w:t>0.21</w:t>
            </w:r>
          </w:p>
        </w:tc>
      </w:tr>
      <w:tr w:rsidR="00C662AE" w:rsidRPr="0045472C" w14:paraId="2447E310" w14:textId="77777777" w:rsidTr="00CE7B13">
        <w:trPr>
          <w:trHeight w:val="720"/>
          <w:jc w:val="center"/>
        </w:trPr>
        <w:tc>
          <w:tcPr>
            <w:tcW w:w="2325" w:type="dxa"/>
            <w:tcBorders>
              <w:left w:val="single" w:sz="12" w:space="0" w:color="auto"/>
              <w:right w:val="single" w:sz="12" w:space="0" w:color="auto"/>
            </w:tcBorders>
            <w:noWrap/>
            <w:vAlign w:val="center"/>
            <w:hideMark/>
          </w:tcPr>
          <w:p w14:paraId="5F2A05C0" w14:textId="77777777" w:rsidR="00C662AE" w:rsidRPr="0045472C" w:rsidRDefault="00C662AE" w:rsidP="00583120">
            <w:pPr>
              <w:jc w:val="center"/>
              <w:rPr>
                <w:rFonts w:ascii="Arial" w:hAnsi="Arial" w:cs="Arial"/>
                <w:color w:val="000000"/>
              </w:rPr>
            </w:pPr>
            <w:r w:rsidRPr="0045472C">
              <w:rPr>
                <w:rFonts w:ascii="Arial" w:hAnsi="Arial" w:cs="Arial"/>
                <w:color w:val="000000"/>
              </w:rPr>
              <w:lastRenderedPageBreak/>
              <w:t>Part-time, Multi-County</w:t>
            </w:r>
          </w:p>
        </w:tc>
        <w:tc>
          <w:tcPr>
            <w:tcW w:w="1134" w:type="dxa"/>
            <w:tcBorders>
              <w:left w:val="single" w:sz="12" w:space="0" w:color="auto"/>
            </w:tcBorders>
            <w:vAlign w:val="center"/>
            <w:hideMark/>
          </w:tcPr>
          <w:p w14:paraId="6A2B8617" w14:textId="77777777" w:rsidR="00C662AE" w:rsidRPr="00FD00C2" w:rsidRDefault="00C662AE" w:rsidP="00583120">
            <w:pPr>
              <w:jc w:val="center"/>
              <w:rPr>
                <w:rFonts w:ascii="Arial" w:hAnsi="Arial" w:cs="Arial"/>
              </w:rPr>
            </w:pPr>
            <w:r w:rsidRPr="00FD00C2">
              <w:rPr>
                <w:rFonts w:ascii="Arial" w:hAnsi="Arial" w:cs="Arial"/>
              </w:rPr>
              <w:t>0.05</w:t>
            </w:r>
          </w:p>
        </w:tc>
        <w:tc>
          <w:tcPr>
            <w:tcW w:w="1350" w:type="dxa"/>
            <w:vAlign w:val="center"/>
            <w:hideMark/>
          </w:tcPr>
          <w:p w14:paraId="22C41D6A" w14:textId="77777777" w:rsidR="00C662AE" w:rsidRPr="00FD00C2" w:rsidRDefault="00C662AE" w:rsidP="00583120">
            <w:pPr>
              <w:jc w:val="center"/>
              <w:rPr>
                <w:rFonts w:ascii="Arial" w:hAnsi="Arial" w:cs="Arial"/>
              </w:rPr>
            </w:pPr>
            <w:r w:rsidRPr="00FD00C2">
              <w:rPr>
                <w:rFonts w:ascii="Arial" w:hAnsi="Arial" w:cs="Arial"/>
              </w:rPr>
              <w:t>0</w:t>
            </w:r>
          </w:p>
        </w:tc>
        <w:tc>
          <w:tcPr>
            <w:tcW w:w="1307" w:type="dxa"/>
            <w:tcBorders>
              <w:right w:val="single" w:sz="12" w:space="0" w:color="auto"/>
            </w:tcBorders>
            <w:vAlign w:val="center"/>
            <w:hideMark/>
          </w:tcPr>
          <w:p w14:paraId="58A9250D" w14:textId="77777777" w:rsidR="00C662AE" w:rsidRPr="00FD00C2" w:rsidRDefault="00C662AE" w:rsidP="00583120">
            <w:pPr>
              <w:jc w:val="center"/>
              <w:rPr>
                <w:rFonts w:ascii="Arial" w:hAnsi="Arial" w:cs="Arial"/>
              </w:rPr>
            </w:pPr>
            <w:r w:rsidRPr="00FD00C2">
              <w:rPr>
                <w:rFonts w:ascii="Arial" w:hAnsi="Arial" w:cs="Arial"/>
              </w:rPr>
              <w:t>0</w:t>
            </w:r>
          </w:p>
        </w:tc>
        <w:tc>
          <w:tcPr>
            <w:tcW w:w="1256" w:type="dxa"/>
            <w:tcBorders>
              <w:left w:val="single" w:sz="12" w:space="0" w:color="auto"/>
            </w:tcBorders>
            <w:vAlign w:val="center"/>
            <w:hideMark/>
          </w:tcPr>
          <w:p w14:paraId="6BFF50BE" w14:textId="77777777" w:rsidR="00C662AE" w:rsidRPr="00FD00C2" w:rsidRDefault="00C662AE" w:rsidP="00583120">
            <w:pPr>
              <w:jc w:val="center"/>
              <w:rPr>
                <w:rFonts w:ascii="Arial" w:hAnsi="Arial" w:cs="Arial"/>
              </w:rPr>
            </w:pPr>
            <w:r w:rsidRPr="00FD00C2">
              <w:rPr>
                <w:rFonts w:ascii="Arial" w:hAnsi="Arial" w:cs="Arial"/>
              </w:rPr>
              <w:t>0.04</w:t>
            </w:r>
          </w:p>
        </w:tc>
        <w:tc>
          <w:tcPr>
            <w:tcW w:w="1190" w:type="dxa"/>
            <w:vAlign w:val="center"/>
            <w:hideMark/>
          </w:tcPr>
          <w:p w14:paraId="3CC96DE1" w14:textId="77777777" w:rsidR="00C662AE" w:rsidRPr="0045472C" w:rsidRDefault="00C662AE" w:rsidP="00583120">
            <w:pPr>
              <w:jc w:val="center"/>
              <w:rPr>
                <w:rFonts w:ascii="Arial" w:hAnsi="Arial" w:cs="Arial"/>
                <w:color w:val="000000"/>
              </w:rPr>
            </w:pPr>
            <w:r w:rsidRPr="0045472C">
              <w:rPr>
                <w:rFonts w:ascii="Arial" w:hAnsi="Arial" w:cs="Arial"/>
                <w:color w:val="000000"/>
              </w:rPr>
              <w:t>0</w:t>
            </w:r>
          </w:p>
        </w:tc>
        <w:tc>
          <w:tcPr>
            <w:tcW w:w="1349" w:type="dxa"/>
            <w:tcBorders>
              <w:right w:val="single" w:sz="12" w:space="0" w:color="auto"/>
            </w:tcBorders>
            <w:vAlign w:val="center"/>
            <w:hideMark/>
          </w:tcPr>
          <w:p w14:paraId="16891719" w14:textId="77777777" w:rsidR="00C662AE" w:rsidRPr="0045472C" w:rsidRDefault="00C662AE" w:rsidP="00583120">
            <w:pPr>
              <w:jc w:val="center"/>
              <w:rPr>
                <w:rFonts w:ascii="Arial" w:hAnsi="Arial" w:cs="Arial"/>
                <w:color w:val="000000"/>
              </w:rPr>
            </w:pPr>
            <w:r w:rsidRPr="0045472C">
              <w:rPr>
                <w:rFonts w:ascii="Arial" w:hAnsi="Arial" w:cs="Arial"/>
                <w:color w:val="000000"/>
              </w:rPr>
              <w:t>0</w:t>
            </w:r>
          </w:p>
        </w:tc>
      </w:tr>
      <w:tr w:rsidR="00C662AE" w:rsidRPr="0045472C" w14:paraId="615F5DA1" w14:textId="77777777" w:rsidTr="00CE7B13">
        <w:trPr>
          <w:trHeight w:val="720"/>
          <w:jc w:val="center"/>
        </w:trPr>
        <w:tc>
          <w:tcPr>
            <w:tcW w:w="2325" w:type="dxa"/>
            <w:tcBorders>
              <w:left w:val="single" w:sz="12" w:space="0" w:color="auto"/>
              <w:right w:val="single" w:sz="12" w:space="0" w:color="auto"/>
            </w:tcBorders>
            <w:noWrap/>
            <w:vAlign w:val="center"/>
            <w:hideMark/>
          </w:tcPr>
          <w:p w14:paraId="74DEB380" w14:textId="77777777" w:rsidR="00C662AE" w:rsidRPr="0045472C" w:rsidRDefault="00C662AE" w:rsidP="00583120">
            <w:pPr>
              <w:jc w:val="center"/>
              <w:rPr>
                <w:rFonts w:ascii="Arial" w:hAnsi="Arial" w:cs="Arial"/>
                <w:color w:val="000000"/>
              </w:rPr>
            </w:pPr>
            <w:r w:rsidRPr="0045472C">
              <w:rPr>
                <w:rFonts w:ascii="Arial" w:hAnsi="Arial" w:cs="Arial"/>
              </w:rPr>
              <w:t>Total (In Person)</w:t>
            </w:r>
          </w:p>
        </w:tc>
        <w:tc>
          <w:tcPr>
            <w:tcW w:w="1134" w:type="dxa"/>
            <w:tcBorders>
              <w:left w:val="single" w:sz="12" w:space="0" w:color="auto"/>
            </w:tcBorders>
            <w:noWrap/>
            <w:vAlign w:val="center"/>
            <w:hideMark/>
          </w:tcPr>
          <w:p w14:paraId="1E993BC6" w14:textId="77777777" w:rsidR="00C662AE" w:rsidRPr="00813D65" w:rsidRDefault="00C662AE" w:rsidP="00583120">
            <w:pPr>
              <w:jc w:val="center"/>
              <w:rPr>
                <w:rFonts w:ascii="Arial" w:hAnsi="Arial" w:cs="Arial"/>
              </w:rPr>
            </w:pPr>
          </w:p>
        </w:tc>
        <w:tc>
          <w:tcPr>
            <w:tcW w:w="1350" w:type="dxa"/>
            <w:vAlign w:val="center"/>
            <w:hideMark/>
          </w:tcPr>
          <w:p w14:paraId="7796E196" w14:textId="77777777" w:rsidR="00C662AE" w:rsidRPr="00813D65" w:rsidRDefault="00C662AE" w:rsidP="00583120">
            <w:pPr>
              <w:jc w:val="center"/>
              <w:rPr>
                <w:rFonts w:ascii="Arial" w:hAnsi="Arial" w:cs="Arial"/>
              </w:rPr>
            </w:pPr>
            <w:r w:rsidRPr="00813D65">
              <w:rPr>
                <w:rFonts w:ascii="Arial" w:hAnsi="Arial" w:cs="Arial"/>
              </w:rPr>
              <w:t>2</w:t>
            </w:r>
          </w:p>
        </w:tc>
        <w:tc>
          <w:tcPr>
            <w:tcW w:w="1307" w:type="dxa"/>
            <w:tcBorders>
              <w:right w:val="single" w:sz="12" w:space="0" w:color="auto"/>
            </w:tcBorders>
            <w:vAlign w:val="center"/>
            <w:hideMark/>
          </w:tcPr>
          <w:p w14:paraId="72591C58" w14:textId="77777777" w:rsidR="00C662AE" w:rsidRPr="00813D65" w:rsidRDefault="00C662AE" w:rsidP="00583120">
            <w:pPr>
              <w:jc w:val="center"/>
              <w:rPr>
                <w:rFonts w:ascii="Arial" w:hAnsi="Arial" w:cs="Arial"/>
              </w:rPr>
            </w:pPr>
            <w:r w:rsidRPr="00813D65">
              <w:rPr>
                <w:rFonts w:ascii="Arial" w:hAnsi="Arial" w:cs="Arial"/>
              </w:rPr>
              <w:t>0.32</w:t>
            </w:r>
          </w:p>
        </w:tc>
        <w:tc>
          <w:tcPr>
            <w:tcW w:w="1256" w:type="dxa"/>
            <w:tcBorders>
              <w:left w:val="single" w:sz="12" w:space="0" w:color="auto"/>
            </w:tcBorders>
            <w:vAlign w:val="center"/>
            <w:hideMark/>
          </w:tcPr>
          <w:p w14:paraId="5FA148B0" w14:textId="77777777" w:rsidR="00C662AE" w:rsidRPr="00813D65" w:rsidRDefault="00C662AE" w:rsidP="00583120">
            <w:pPr>
              <w:jc w:val="center"/>
              <w:rPr>
                <w:rFonts w:ascii="Arial" w:hAnsi="Arial" w:cs="Arial"/>
              </w:rPr>
            </w:pPr>
          </w:p>
        </w:tc>
        <w:tc>
          <w:tcPr>
            <w:tcW w:w="1190" w:type="dxa"/>
            <w:vAlign w:val="center"/>
            <w:hideMark/>
          </w:tcPr>
          <w:p w14:paraId="496E775B" w14:textId="77777777" w:rsidR="00C662AE" w:rsidRPr="00813D65" w:rsidRDefault="00C662AE" w:rsidP="00583120">
            <w:pPr>
              <w:jc w:val="center"/>
              <w:rPr>
                <w:rFonts w:ascii="Arial" w:hAnsi="Arial" w:cs="Arial"/>
              </w:rPr>
            </w:pPr>
            <w:r w:rsidRPr="00813D65">
              <w:rPr>
                <w:rFonts w:ascii="Arial" w:hAnsi="Arial" w:cs="Arial"/>
              </w:rPr>
              <w:t>15</w:t>
            </w:r>
          </w:p>
        </w:tc>
        <w:tc>
          <w:tcPr>
            <w:tcW w:w="1349" w:type="dxa"/>
            <w:tcBorders>
              <w:right w:val="single" w:sz="12" w:space="0" w:color="auto"/>
            </w:tcBorders>
            <w:vAlign w:val="center"/>
            <w:hideMark/>
          </w:tcPr>
          <w:p w14:paraId="2DE5BBB8" w14:textId="77777777" w:rsidR="00C662AE" w:rsidRPr="00813D65" w:rsidRDefault="00C662AE" w:rsidP="00583120">
            <w:pPr>
              <w:jc w:val="center"/>
              <w:rPr>
                <w:rFonts w:ascii="Arial" w:hAnsi="Arial" w:cs="Arial"/>
              </w:rPr>
            </w:pPr>
            <w:r w:rsidRPr="00813D65">
              <w:rPr>
                <w:rFonts w:ascii="Arial" w:hAnsi="Arial" w:cs="Arial"/>
              </w:rPr>
              <w:t>1.69</w:t>
            </w:r>
          </w:p>
        </w:tc>
      </w:tr>
      <w:tr w:rsidR="00C662AE" w:rsidRPr="0045472C" w14:paraId="2AA56C3A" w14:textId="77777777" w:rsidTr="00CE7B13">
        <w:trPr>
          <w:trHeight w:val="720"/>
          <w:jc w:val="center"/>
        </w:trPr>
        <w:tc>
          <w:tcPr>
            <w:tcW w:w="2325" w:type="dxa"/>
            <w:tcBorders>
              <w:left w:val="single" w:sz="12" w:space="0" w:color="auto"/>
              <w:right w:val="single" w:sz="12" w:space="0" w:color="auto"/>
            </w:tcBorders>
            <w:noWrap/>
            <w:vAlign w:val="center"/>
            <w:hideMark/>
          </w:tcPr>
          <w:p w14:paraId="2297D6E3" w14:textId="77777777" w:rsidR="00C662AE" w:rsidRPr="0045472C" w:rsidRDefault="00C662AE" w:rsidP="00583120">
            <w:pPr>
              <w:jc w:val="center"/>
              <w:rPr>
                <w:rFonts w:ascii="Arial" w:hAnsi="Arial" w:cs="Arial"/>
                <w:color w:val="000000"/>
              </w:rPr>
            </w:pPr>
            <w:r w:rsidRPr="0045472C">
              <w:rPr>
                <w:rFonts w:ascii="Arial" w:hAnsi="Arial" w:cs="Arial"/>
                <w:color w:val="000000"/>
              </w:rPr>
              <w:t>Enrollment</w:t>
            </w:r>
          </w:p>
        </w:tc>
        <w:tc>
          <w:tcPr>
            <w:tcW w:w="1134" w:type="dxa"/>
            <w:tcBorders>
              <w:left w:val="single" w:sz="12" w:space="0" w:color="auto"/>
            </w:tcBorders>
            <w:noWrap/>
            <w:vAlign w:val="center"/>
            <w:hideMark/>
          </w:tcPr>
          <w:p w14:paraId="361B7D6F" w14:textId="77777777" w:rsidR="00C662AE" w:rsidRPr="00BB2B45" w:rsidRDefault="00C662AE" w:rsidP="00583120">
            <w:pPr>
              <w:jc w:val="center"/>
              <w:rPr>
                <w:rFonts w:ascii="Arial" w:hAnsi="Arial" w:cs="Arial"/>
              </w:rPr>
            </w:pPr>
          </w:p>
        </w:tc>
        <w:tc>
          <w:tcPr>
            <w:tcW w:w="1350" w:type="dxa"/>
            <w:noWrap/>
            <w:vAlign w:val="center"/>
            <w:hideMark/>
          </w:tcPr>
          <w:p w14:paraId="57A7E34A" w14:textId="77777777" w:rsidR="00C662AE" w:rsidRPr="00BB2B45" w:rsidRDefault="00C662AE" w:rsidP="00583120">
            <w:pPr>
              <w:jc w:val="center"/>
              <w:rPr>
                <w:rFonts w:ascii="Arial" w:hAnsi="Arial" w:cs="Arial"/>
              </w:rPr>
            </w:pPr>
          </w:p>
        </w:tc>
        <w:tc>
          <w:tcPr>
            <w:tcW w:w="1307" w:type="dxa"/>
            <w:tcBorders>
              <w:right w:val="single" w:sz="12" w:space="0" w:color="auto"/>
            </w:tcBorders>
            <w:noWrap/>
            <w:vAlign w:val="center"/>
            <w:hideMark/>
          </w:tcPr>
          <w:p w14:paraId="5EC77129" w14:textId="77777777" w:rsidR="00C662AE" w:rsidRPr="00BB2B45" w:rsidRDefault="00C662AE" w:rsidP="00583120">
            <w:pPr>
              <w:jc w:val="center"/>
              <w:rPr>
                <w:rFonts w:ascii="Arial" w:hAnsi="Arial" w:cs="Arial"/>
              </w:rPr>
            </w:pPr>
            <w:r w:rsidRPr="00BB2B45">
              <w:rPr>
                <w:rFonts w:ascii="Arial" w:hAnsi="Arial" w:cs="Arial"/>
              </w:rPr>
              <w:t>400</w:t>
            </w:r>
          </w:p>
        </w:tc>
        <w:tc>
          <w:tcPr>
            <w:tcW w:w="1256" w:type="dxa"/>
            <w:tcBorders>
              <w:left w:val="single" w:sz="12" w:space="0" w:color="auto"/>
            </w:tcBorders>
            <w:noWrap/>
            <w:vAlign w:val="center"/>
            <w:hideMark/>
          </w:tcPr>
          <w:p w14:paraId="244D2596" w14:textId="77777777" w:rsidR="00C662AE" w:rsidRPr="00BB2B45" w:rsidRDefault="00C662AE" w:rsidP="00583120">
            <w:pPr>
              <w:jc w:val="center"/>
              <w:rPr>
                <w:rFonts w:ascii="Arial" w:hAnsi="Arial" w:cs="Arial"/>
              </w:rPr>
            </w:pPr>
          </w:p>
        </w:tc>
        <w:tc>
          <w:tcPr>
            <w:tcW w:w="1190" w:type="dxa"/>
            <w:noWrap/>
            <w:vAlign w:val="center"/>
            <w:hideMark/>
          </w:tcPr>
          <w:p w14:paraId="3EA7B05A" w14:textId="77777777" w:rsidR="00C662AE" w:rsidRPr="00BB2B45" w:rsidRDefault="00C662AE" w:rsidP="00583120">
            <w:pPr>
              <w:jc w:val="center"/>
              <w:rPr>
                <w:rFonts w:ascii="Arial" w:hAnsi="Arial" w:cs="Arial"/>
              </w:rPr>
            </w:pPr>
          </w:p>
        </w:tc>
        <w:tc>
          <w:tcPr>
            <w:tcW w:w="1349" w:type="dxa"/>
            <w:tcBorders>
              <w:right w:val="single" w:sz="12" w:space="0" w:color="auto"/>
            </w:tcBorders>
            <w:noWrap/>
            <w:vAlign w:val="center"/>
            <w:hideMark/>
          </w:tcPr>
          <w:p w14:paraId="422543C3" w14:textId="77777777" w:rsidR="00C662AE" w:rsidRPr="00BB2B45" w:rsidRDefault="00C662AE" w:rsidP="00583120">
            <w:pPr>
              <w:jc w:val="center"/>
              <w:rPr>
                <w:rFonts w:ascii="Arial" w:hAnsi="Arial" w:cs="Arial"/>
              </w:rPr>
            </w:pPr>
            <w:r w:rsidRPr="00BB2B45">
              <w:rPr>
                <w:rFonts w:ascii="Arial" w:hAnsi="Arial" w:cs="Arial"/>
              </w:rPr>
              <w:t>3000</w:t>
            </w:r>
          </w:p>
        </w:tc>
      </w:tr>
      <w:tr w:rsidR="00C662AE" w:rsidRPr="0045472C" w14:paraId="5D146FD9" w14:textId="77777777" w:rsidTr="00CE7B13">
        <w:trPr>
          <w:trHeight w:val="890"/>
          <w:jc w:val="center"/>
        </w:trPr>
        <w:tc>
          <w:tcPr>
            <w:tcW w:w="2325" w:type="dxa"/>
            <w:tcBorders>
              <w:left w:val="single" w:sz="12" w:space="0" w:color="auto"/>
              <w:right w:val="single" w:sz="12" w:space="0" w:color="auto"/>
            </w:tcBorders>
            <w:noWrap/>
            <w:vAlign w:val="center"/>
            <w:hideMark/>
          </w:tcPr>
          <w:p w14:paraId="2735C57D" w14:textId="37F29111" w:rsidR="00C662AE" w:rsidRPr="0045472C" w:rsidRDefault="003D1C27" w:rsidP="00583120">
            <w:pPr>
              <w:jc w:val="center"/>
              <w:rPr>
                <w:rFonts w:ascii="Arial" w:hAnsi="Arial" w:cs="Arial"/>
                <w:color w:val="000000"/>
              </w:rPr>
            </w:pPr>
            <w:r w:rsidRPr="0013286F">
              <w:rPr>
                <w:rFonts w:ascii="Arial" w:hAnsi="Arial" w:cs="Arial"/>
                <w:u w:val="single"/>
              </w:rPr>
              <w:t>FTE</w:t>
            </w:r>
            <w:r w:rsidR="00094A5F" w:rsidRPr="0013286F">
              <w:rPr>
                <w:rFonts w:ascii="Arial" w:hAnsi="Arial" w:cs="Arial"/>
              </w:rPr>
              <w:t xml:space="preserve"> </w:t>
            </w:r>
            <w:r w:rsidR="00C662AE" w:rsidRPr="0045472C">
              <w:rPr>
                <w:rFonts w:ascii="Arial" w:hAnsi="Arial" w:cs="Arial"/>
              </w:rPr>
              <w:t>Ratio (1: ____)</w:t>
            </w:r>
          </w:p>
        </w:tc>
        <w:tc>
          <w:tcPr>
            <w:tcW w:w="1134" w:type="dxa"/>
            <w:tcBorders>
              <w:left w:val="single" w:sz="12" w:space="0" w:color="auto"/>
            </w:tcBorders>
            <w:noWrap/>
            <w:vAlign w:val="center"/>
            <w:hideMark/>
          </w:tcPr>
          <w:p w14:paraId="54E60CC6" w14:textId="77777777" w:rsidR="00C662AE" w:rsidRPr="00BB2B45" w:rsidRDefault="00C662AE" w:rsidP="00583120">
            <w:pPr>
              <w:jc w:val="center"/>
              <w:rPr>
                <w:rFonts w:ascii="Arial" w:hAnsi="Arial" w:cs="Arial"/>
              </w:rPr>
            </w:pPr>
          </w:p>
        </w:tc>
        <w:tc>
          <w:tcPr>
            <w:tcW w:w="1350" w:type="dxa"/>
            <w:noWrap/>
            <w:vAlign w:val="center"/>
            <w:hideMark/>
          </w:tcPr>
          <w:p w14:paraId="1884E2E5" w14:textId="77777777" w:rsidR="00C662AE" w:rsidRPr="00BB2B45" w:rsidRDefault="00C662AE" w:rsidP="00583120">
            <w:pPr>
              <w:jc w:val="center"/>
              <w:rPr>
                <w:rFonts w:ascii="Arial" w:hAnsi="Arial" w:cs="Arial"/>
              </w:rPr>
            </w:pPr>
          </w:p>
        </w:tc>
        <w:tc>
          <w:tcPr>
            <w:tcW w:w="1307" w:type="dxa"/>
            <w:tcBorders>
              <w:right w:val="single" w:sz="12" w:space="0" w:color="auto"/>
            </w:tcBorders>
            <w:noWrap/>
            <w:vAlign w:val="center"/>
            <w:hideMark/>
          </w:tcPr>
          <w:p w14:paraId="3D01324D" w14:textId="12170036" w:rsidR="00C662AE" w:rsidRPr="00BB2B45" w:rsidRDefault="00C662AE" w:rsidP="00583120">
            <w:pPr>
              <w:jc w:val="center"/>
              <w:rPr>
                <w:rFonts w:ascii="Arial" w:hAnsi="Arial" w:cs="Arial"/>
              </w:rPr>
            </w:pPr>
            <w:r w:rsidRPr="00BB2B45">
              <w:rPr>
                <w:rFonts w:ascii="Arial" w:hAnsi="Arial" w:cs="Arial"/>
              </w:rPr>
              <w:t>400</w:t>
            </w:r>
            <w:r w:rsidR="00AD5894" w:rsidRPr="00634030">
              <w:rPr>
                <w:rFonts w:ascii="Arial" w:hAnsi="Arial" w:cs="Arial"/>
              </w:rPr>
              <w:t>÷</w:t>
            </w:r>
            <w:r w:rsidRPr="00BB2B45">
              <w:rPr>
                <w:rFonts w:ascii="Arial" w:hAnsi="Arial" w:cs="Arial"/>
              </w:rPr>
              <w:t>0.32 = 1250</w:t>
            </w:r>
          </w:p>
        </w:tc>
        <w:tc>
          <w:tcPr>
            <w:tcW w:w="1256" w:type="dxa"/>
            <w:tcBorders>
              <w:left w:val="single" w:sz="12" w:space="0" w:color="auto"/>
            </w:tcBorders>
            <w:noWrap/>
            <w:vAlign w:val="center"/>
            <w:hideMark/>
          </w:tcPr>
          <w:p w14:paraId="71F375E8" w14:textId="77777777" w:rsidR="00C662AE" w:rsidRPr="00BB2B45" w:rsidRDefault="00C662AE" w:rsidP="00583120">
            <w:pPr>
              <w:jc w:val="center"/>
              <w:rPr>
                <w:rFonts w:ascii="Arial" w:hAnsi="Arial" w:cs="Arial"/>
              </w:rPr>
            </w:pPr>
          </w:p>
        </w:tc>
        <w:tc>
          <w:tcPr>
            <w:tcW w:w="1190" w:type="dxa"/>
            <w:noWrap/>
            <w:vAlign w:val="center"/>
            <w:hideMark/>
          </w:tcPr>
          <w:p w14:paraId="23FF3F7E" w14:textId="77777777" w:rsidR="00C662AE" w:rsidRPr="00BB2B45" w:rsidRDefault="00C662AE" w:rsidP="00583120">
            <w:pPr>
              <w:jc w:val="center"/>
              <w:rPr>
                <w:rFonts w:ascii="Arial" w:hAnsi="Arial" w:cs="Arial"/>
              </w:rPr>
            </w:pPr>
          </w:p>
        </w:tc>
        <w:tc>
          <w:tcPr>
            <w:tcW w:w="1349" w:type="dxa"/>
            <w:tcBorders>
              <w:right w:val="single" w:sz="12" w:space="0" w:color="auto"/>
            </w:tcBorders>
            <w:noWrap/>
            <w:vAlign w:val="center"/>
            <w:hideMark/>
          </w:tcPr>
          <w:p w14:paraId="12338225" w14:textId="4E56856D" w:rsidR="00C662AE" w:rsidRPr="00BB2B45" w:rsidRDefault="00C662AE" w:rsidP="00583120">
            <w:pPr>
              <w:jc w:val="center"/>
              <w:rPr>
                <w:rFonts w:ascii="Arial" w:hAnsi="Arial" w:cs="Arial"/>
              </w:rPr>
            </w:pPr>
            <w:r w:rsidRPr="00BB2B45">
              <w:rPr>
                <w:rFonts w:ascii="Arial" w:hAnsi="Arial" w:cs="Arial"/>
              </w:rPr>
              <w:t>3000</w:t>
            </w:r>
            <w:r w:rsidR="00D457DF" w:rsidRPr="00634030">
              <w:rPr>
                <w:rFonts w:ascii="Arial" w:hAnsi="Arial" w:cs="Arial"/>
              </w:rPr>
              <w:t>÷</w:t>
            </w:r>
            <w:r w:rsidRPr="00BB2B45">
              <w:rPr>
                <w:rFonts w:ascii="Arial" w:hAnsi="Arial" w:cs="Arial"/>
              </w:rPr>
              <w:t>1.69 = 177</w:t>
            </w:r>
            <w:r w:rsidR="00D46C8A">
              <w:rPr>
                <w:rFonts w:ascii="Arial" w:hAnsi="Arial" w:cs="Arial"/>
              </w:rPr>
              <w:t>6</w:t>
            </w:r>
          </w:p>
        </w:tc>
      </w:tr>
    </w:tbl>
    <w:p w14:paraId="7413D0B0" w14:textId="2D632EFA" w:rsidR="00C662AE" w:rsidRPr="0097271B" w:rsidRDefault="00C662AE" w:rsidP="00583120">
      <w:pPr>
        <w:spacing w:before="240" w:after="240"/>
        <w:rPr>
          <w:rFonts w:ascii="Arial" w:hAnsi="Arial" w:cs="Arial"/>
        </w:rPr>
      </w:pPr>
      <w:r w:rsidRPr="0045472C">
        <w:rPr>
          <w:rFonts w:ascii="Arial" w:hAnsi="Arial" w:cs="Arial"/>
        </w:rPr>
        <w:t>*</w:t>
      </w:r>
      <w:r w:rsidRPr="0097271B">
        <w:rPr>
          <w:rFonts w:ascii="Arial" w:hAnsi="Arial" w:cs="Arial"/>
        </w:rPr>
        <w:t xml:space="preserve">Full-value provider count is defined in the Counseling </w:t>
      </w:r>
      <w:r w:rsidR="003656CC" w:rsidRPr="0097271B">
        <w:rPr>
          <w:rFonts w:ascii="Arial" w:hAnsi="Arial" w:cs="Arial"/>
        </w:rPr>
        <w:t>Non-Physician Mental Health Professional Ratio S</w:t>
      </w:r>
      <w:r w:rsidRPr="0097271B">
        <w:rPr>
          <w:rFonts w:ascii="Arial" w:hAnsi="Arial" w:cs="Arial"/>
        </w:rPr>
        <w:t>tandards and Methodology document.</w:t>
      </w:r>
    </w:p>
    <w:p w14:paraId="4FB7E244" w14:textId="721DF8EC" w:rsidR="00D93092" w:rsidRPr="0097271B" w:rsidRDefault="00D93092" w:rsidP="00583120">
      <w:pPr>
        <w:spacing w:before="240" w:after="240"/>
        <w:rPr>
          <w:rFonts w:ascii="Arial" w:hAnsi="Arial" w:cs="Arial"/>
          <w:u w:val="single"/>
        </w:rPr>
      </w:pPr>
      <w:r w:rsidRPr="0097271B">
        <w:rPr>
          <w:rFonts w:ascii="Arial" w:hAnsi="Arial" w:cs="Arial"/>
          <w:u w:val="single"/>
        </w:rPr>
        <w:t>**</w:t>
      </w:r>
      <w:r w:rsidR="00531C92" w:rsidRPr="0097271B">
        <w:rPr>
          <w:rFonts w:ascii="Arial" w:hAnsi="Arial" w:cs="Arial"/>
          <w:u w:val="single"/>
        </w:rPr>
        <w:t xml:space="preserve">The </w:t>
      </w:r>
      <w:r w:rsidRPr="0097271B">
        <w:rPr>
          <w:rFonts w:ascii="Arial" w:hAnsi="Arial" w:cs="Arial"/>
          <w:u w:val="single"/>
        </w:rPr>
        <w:t xml:space="preserve">FTE value </w:t>
      </w:r>
      <w:r w:rsidR="00531C92" w:rsidRPr="0097271B">
        <w:rPr>
          <w:rFonts w:ascii="Arial" w:hAnsi="Arial" w:cs="Arial"/>
          <w:u w:val="single"/>
        </w:rPr>
        <w:t xml:space="preserve">column </w:t>
      </w:r>
      <w:r w:rsidRPr="0097271B">
        <w:rPr>
          <w:rFonts w:ascii="Arial" w:hAnsi="Arial" w:cs="Arial"/>
          <w:u w:val="single"/>
        </w:rPr>
        <w:t>represents the starting values and adjustments from Table A above.</w:t>
      </w:r>
    </w:p>
    <w:p w14:paraId="51510993" w14:textId="4BD264B7" w:rsidR="00806347" w:rsidRPr="0097271B" w:rsidRDefault="00806347" w:rsidP="00583120">
      <w:pPr>
        <w:spacing w:after="240"/>
        <w:rPr>
          <w:rFonts w:ascii="Arial" w:hAnsi="Arial" w:cs="Arial"/>
          <w:b/>
          <w:bCs/>
          <w:u w:val="single"/>
        </w:rPr>
      </w:pPr>
      <w:r w:rsidRPr="0097271B">
        <w:rPr>
          <w:rFonts w:ascii="Arial" w:hAnsi="Arial" w:cs="Arial"/>
          <w:b/>
          <w:bCs/>
          <w:u w:val="single"/>
        </w:rPr>
        <w:t>Outcome of Example 1, Table B:</w:t>
      </w:r>
    </w:p>
    <w:p w14:paraId="2CE930BC" w14:textId="0F91B2BC" w:rsidR="00806347" w:rsidRPr="0097271B" w:rsidRDefault="00806347" w:rsidP="00583120">
      <w:pPr>
        <w:spacing w:after="240"/>
        <w:rPr>
          <w:rFonts w:ascii="Arial" w:hAnsi="Arial" w:cs="Arial"/>
          <w:u w:val="single"/>
        </w:rPr>
      </w:pPr>
      <w:r w:rsidRPr="0097271B">
        <w:rPr>
          <w:rFonts w:ascii="Arial" w:hAnsi="Arial" w:cs="Arial"/>
          <w:u w:val="single"/>
        </w:rPr>
        <w:t>This fictional network has not met compliance under the applicable FTE ratio standard for either Sisk</w:t>
      </w:r>
      <w:r w:rsidR="005227A5" w:rsidRPr="0097271B">
        <w:rPr>
          <w:rFonts w:ascii="Arial" w:hAnsi="Arial" w:cs="Arial"/>
          <w:u w:val="single"/>
        </w:rPr>
        <w:t>iyou</w:t>
      </w:r>
      <w:r w:rsidRPr="0097271B">
        <w:rPr>
          <w:rFonts w:ascii="Arial" w:hAnsi="Arial" w:cs="Arial"/>
          <w:u w:val="single"/>
        </w:rPr>
        <w:t xml:space="preserve"> County or </w:t>
      </w:r>
      <w:r w:rsidR="005227A5" w:rsidRPr="0097271B">
        <w:rPr>
          <w:rFonts w:ascii="Arial" w:hAnsi="Arial" w:cs="Arial"/>
          <w:u w:val="single"/>
        </w:rPr>
        <w:t>Shasta</w:t>
      </w:r>
      <w:r w:rsidRPr="0097271B">
        <w:rPr>
          <w:rFonts w:ascii="Arial" w:hAnsi="Arial" w:cs="Arial"/>
          <w:u w:val="single"/>
        </w:rPr>
        <w:t xml:space="preserve"> County.</w:t>
      </w:r>
    </w:p>
    <w:p w14:paraId="687E535D" w14:textId="0215EEDB" w:rsidR="00806347" w:rsidRPr="0097271B" w:rsidRDefault="00806347" w:rsidP="00583120">
      <w:pPr>
        <w:spacing w:after="240"/>
        <w:rPr>
          <w:rFonts w:ascii="Arial" w:hAnsi="Arial" w:cs="Arial"/>
          <w:u w:val="single"/>
        </w:rPr>
      </w:pPr>
      <w:r w:rsidRPr="0097271B">
        <w:rPr>
          <w:rFonts w:ascii="Arial" w:hAnsi="Arial" w:cs="Arial"/>
          <w:u w:val="single"/>
        </w:rPr>
        <w:t xml:space="preserve">See Table </w:t>
      </w:r>
      <w:r w:rsidR="005227A5" w:rsidRPr="0097271B">
        <w:rPr>
          <w:rFonts w:ascii="Arial" w:hAnsi="Arial" w:cs="Arial"/>
          <w:u w:val="single"/>
        </w:rPr>
        <w:t>B</w:t>
      </w:r>
      <w:r w:rsidRPr="0097271B">
        <w:rPr>
          <w:rFonts w:ascii="Arial" w:hAnsi="Arial" w:cs="Arial"/>
          <w:u w:val="single"/>
        </w:rPr>
        <w:t xml:space="preserve"> above illustrating the FTE value and ratio calculations for each county.</w:t>
      </w:r>
    </w:p>
    <w:p w14:paraId="2954C0C8" w14:textId="77777777" w:rsidR="003A3DC4" w:rsidRDefault="00C662AE" w:rsidP="00583120">
      <w:pPr>
        <w:pStyle w:val="Heading1"/>
      </w:pPr>
      <w:r w:rsidRPr="0097271B">
        <w:br w:type="page"/>
      </w:r>
      <w:r w:rsidRPr="0097271B">
        <w:lastRenderedPageBreak/>
        <w:t>Schedule A-1</w:t>
      </w:r>
    </w:p>
    <w:p w14:paraId="7DDEB304" w14:textId="237DB9FC" w:rsidR="008467EC" w:rsidRPr="003A3DC4" w:rsidRDefault="00C662AE" w:rsidP="00583120">
      <w:pPr>
        <w:jc w:val="center"/>
        <w:rPr>
          <w:rFonts w:ascii="Arial" w:hAnsi="Arial" w:cs="Arial"/>
          <w:b/>
          <w:bCs/>
          <w:sz w:val="28"/>
          <w:szCs w:val="28"/>
        </w:rPr>
      </w:pPr>
      <w:r w:rsidRPr="003A3DC4">
        <w:rPr>
          <w:rFonts w:ascii="Arial" w:hAnsi="Arial" w:cs="Arial"/>
          <w:b/>
          <w:bCs/>
          <w:sz w:val="28"/>
          <w:szCs w:val="28"/>
        </w:rPr>
        <w:t>Ratio Modifier for Telehealth-Only Network Providers</w:t>
      </w:r>
    </w:p>
    <w:p w14:paraId="538BC7E7" w14:textId="1D81139B" w:rsidR="00C662AE" w:rsidRPr="0097271B" w:rsidRDefault="00C662AE" w:rsidP="00583120">
      <w:pPr>
        <w:spacing w:before="240" w:after="240"/>
        <w:textAlignment w:val="baseline"/>
        <w:rPr>
          <w:rFonts w:ascii="Arial" w:hAnsi="Arial" w:cs="Arial"/>
        </w:rPr>
      </w:pPr>
      <w:r w:rsidRPr="0097271B">
        <w:rPr>
          <w:rFonts w:ascii="Arial" w:hAnsi="Arial" w:cs="Arial"/>
        </w:rPr>
        <w:t>The</w:t>
      </w:r>
      <w:r w:rsidR="001B64A8" w:rsidRPr="0097271B">
        <w:rPr>
          <w:rFonts w:ascii="Arial" w:hAnsi="Arial" w:cs="Arial"/>
        </w:rPr>
        <w:t xml:space="preserve"> Department of Managed Health Care (</w:t>
      </w:r>
      <w:r w:rsidRPr="0097271B">
        <w:rPr>
          <w:rFonts w:ascii="Arial" w:hAnsi="Arial" w:cs="Arial"/>
        </w:rPr>
        <w:t>DMHC</w:t>
      </w:r>
      <w:r w:rsidR="001B64A8" w:rsidRPr="00961CF3">
        <w:rPr>
          <w:rFonts w:ascii="Arial" w:hAnsi="Arial" w:cs="Arial"/>
        </w:rPr>
        <w:t>)</w:t>
      </w:r>
      <w:r w:rsidRPr="0097271B">
        <w:rPr>
          <w:rFonts w:ascii="Arial" w:hAnsi="Arial" w:cs="Arial"/>
        </w:rPr>
        <w:t xml:space="preserve"> may apply a ratio modifier to the denominator of the capacity ratio to account for networks that provide access to telehealth-only providers, as defined in the standard. A telehealth-only network provider coefficient will be calculated for networks reported with telehealth-only providers. The coefficient is a network-level value, meaning that it is calculated at the network level and applied as a constant when calculating the FTEs for each county. This coefficient will be multiplied by the summed FTE values for each network service area county to produce a ratio modifier that is added to the denominator of the capacity ratio. </w:t>
      </w:r>
      <w:r w:rsidR="00E225AE" w:rsidRPr="0097271B">
        <w:rPr>
          <w:rFonts w:ascii="Arial" w:hAnsi="Arial" w:cs="Arial"/>
          <w:u w:val="single"/>
        </w:rPr>
        <w:t>The telehealth-only ratio modifier may be further adjusted for high-enrollment counties as described in</w:t>
      </w:r>
      <w:r w:rsidR="00E225AE" w:rsidRPr="0097271B">
        <w:rPr>
          <w:rFonts w:ascii="Arial" w:hAnsi="Arial" w:cs="Arial"/>
          <w:highlight w:val="yellow"/>
          <w:u w:val="single"/>
        </w:rPr>
        <w:t xml:space="preserve"> </w:t>
      </w:r>
      <w:r w:rsidR="00E225AE" w:rsidRPr="0097271B">
        <w:rPr>
          <w:rFonts w:ascii="Arial" w:hAnsi="Arial" w:cs="Arial"/>
          <w:u w:val="single"/>
        </w:rPr>
        <w:t>Schedule A-3 below</w:t>
      </w:r>
      <w:r w:rsidR="00215029" w:rsidRPr="0097271B">
        <w:rPr>
          <w:rFonts w:ascii="Arial" w:hAnsi="Arial" w:cs="Arial"/>
          <w:u w:val="single"/>
        </w:rPr>
        <w:t xml:space="preserve">. </w:t>
      </w:r>
      <w:r w:rsidRPr="0097271B">
        <w:rPr>
          <w:rFonts w:ascii="Arial" w:hAnsi="Arial" w:cs="Arial"/>
        </w:rPr>
        <w:t>The network telehealth coefficient may not exceed 20%, or 0.2.</w:t>
      </w:r>
    </w:p>
    <w:p w14:paraId="3480DAE3" w14:textId="77777777" w:rsidR="00C662AE" w:rsidRPr="0097271B" w:rsidRDefault="00C662AE" w:rsidP="00583120">
      <w:pPr>
        <w:spacing w:after="240"/>
        <w:textAlignment w:val="baseline"/>
        <w:rPr>
          <w:rFonts w:ascii="Arial" w:hAnsi="Arial" w:cs="Arial"/>
        </w:rPr>
      </w:pPr>
      <w:r w:rsidRPr="0097271B">
        <w:rPr>
          <w:rFonts w:ascii="Arial" w:hAnsi="Arial" w:cs="Arial"/>
        </w:rPr>
        <w:t>The network telehealth coefficient is calculated as the lesser of:</w:t>
      </w:r>
    </w:p>
    <w:p w14:paraId="6A74191E" w14:textId="77777777" w:rsidR="00E00FEF" w:rsidRPr="0097271B" w:rsidRDefault="00C662AE" w:rsidP="00583120">
      <w:pPr>
        <w:pStyle w:val="ListParagraph"/>
        <w:numPr>
          <w:ilvl w:val="0"/>
          <w:numId w:val="10"/>
        </w:numPr>
        <w:spacing w:after="240"/>
        <w:ind w:left="450" w:right="-360"/>
        <w:contextualSpacing w:val="0"/>
        <w:textAlignment w:val="baseline"/>
        <w:rPr>
          <w:rFonts w:ascii="Arial" w:hAnsi="Arial" w:cs="Arial"/>
        </w:rPr>
      </w:pPr>
      <w:r w:rsidRPr="0097271B">
        <w:rPr>
          <w:rFonts w:ascii="Arial" w:hAnsi="Arial" w:cs="Arial"/>
          <w:b/>
        </w:rPr>
        <w:t>Network Telehealth Coefficient</w:t>
      </w:r>
      <w:r w:rsidRPr="0097271B">
        <w:rPr>
          <w:rFonts w:ascii="Arial" w:hAnsi="Arial" w:cs="Arial"/>
        </w:rPr>
        <w:t xml:space="preserve"> =</w:t>
      </w:r>
    </w:p>
    <w:p w14:paraId="4E59F481" w14:textId="63E3FE91" w:rsidR="00C662AE" w:rsidRPr="0097271B" w:rsidRDefault="00C662AE" w:rsidP="00583120">
      <w:pPr>
        <w:pStyle w:val="ListParagraph"/>
        <w:spacing w:after="240"/>
        <w:ind w:left="450" w:right="-360"/>
        <w:contextualSpacing w:val="0"/>
        <w:textAlignment w:val="baseline"/>
        <w:rPr>
          <w:rFonts w:ascii="Arial" w:hAnsi="Arial" w:cs="Arial"/>
        </w:rPr>
      </w:pPr>
      <m:oMathPara>
        <m:oMath>
          <m:r>
            <w:rPr>
              <w:rFonts w:ascii="Cambria Math" w:hAnsi="Cambria Math" w:cs="Arial"/>
            </w:rPr>
            <m:t xml:space="preserve"> </m:t>
          </m:r>
          <m:f>
            <m:fPr>
              <m:ctrlPr>
                <w:rPr>
                  <w:rFonts w:ascii="Cambria Math" w:hAnsi="Cambria Math" w:cs="Arial"/>
                  <w:i/>
                </w:rPr>
              </m:ctrlPr>
            </m:fPr>
            <m:num>
              <m:r>
                <w:rPr>
                  <w:rFonts w:ascii="Cambria Math" w:hAnsi="Cambria Math" w:cs="Arial"/>
                </w:rPr>
                <m:t>Full Value Count of network telehealth</m:t>
              </m:r>
              <m:r>
                <m:rPr>
                  <m:nor/>
                </m:rPr>
                <w:rPr>
                  <w:rFonts w:ascii="Arial" w:hAnsi="Arial" w:cs="Arial"/>
                </w:rPr>
                <m:t>-</m:t>
              </m:r>
              <m:r>
                <w:rPr>
                  <w:rFonts w:ascii="Cambria Math" w:hAnsi="Cambria Math" w:cs="Arial"/>
                </w:rPr>
                <m:t xml:space="preserve">only Counselling MHPs </m:t>
              </m:r>
            </m:num>
            <m:den>
              <m:r>
                <w:rPr>
                  <w:rFonts w:ascii="Cambria Math" w:hAnsi="Cambria Math" w:cs="Arial"/>
                </w:rPr>
                <m:t>Full Value Count of all network in</m:t>
              </m:r>
              <m:r>
                <m:rPr>
                  <m:nor/>
                </m:rPr>
                <w:rPr>
                  <w:rFonts w:ascii="Arial" w:hAnsi="Arial" w:cs="Arial"/>
                </w:rPr>
                <m:t>-</m:t>
              </m:r>
              <m:r>
                <w:rPr>
                  <w:rFonts w:ascii="Cambria Math" w:hAnsi="Cambria Math" w:cs="Arial"/>
                </w:rPr>
                <m:t>person Counseling MHPs</m:t>
              </m:r>
            </m:den>
          </m:f>
          <m:r>
            <m:rPr>
              <m:sty m:val="p"/>
            </m:rPr>
            <w:rPr>
              <w:rFonts w:ascii="Cambria Math" w:hAnsi="Cambria Math" w:cs="Arial"/>
            </w:rPr>
            <w:br/>
          </m:r>
        </m:oMath>
      </m:oMathPara>
      <w:r w:rsidRPr="0097271B">
        <w:rPr>
          <w:rFonts w:ascii="Arial" w:hAnsi="Arial" w:cs="Arial"/>
        </w:rPr>
        <w:t>or</w:t>
      </w:r>
    </w:p>
    <w:p w14:paraId="6C05E1FC" w14:textId="2DEB2421" w:rsidR="00C662AE" w:rsidRPr="0097271B" w:rsidRDefault="00C662AE" w:rsidP="00583120">
      <w:pPr>
        <w:pStyle w:val="ListParagraph"/>
        <w:numPr>
          <w:ilvl w:val="0"/>
          <w:numId w:val="10"/>
        </w:numPr>
        <w:spacing w:after="240"/>
        <w:ind w:left="450" w:right="-360"/>
        <w:contextualSpacing w:val="0"/>
        <w:textAlignment w:val="baseline"/>
        <w:rPr>
          <w:rFonts w:ascii="Arial" w:hAnsi="Arial" w:cs="Arial"/>
        </w:rPr>
      </w:pPr>
      <w:r w:rsidRPr="0097271B">
        <w:rPr>
          <w:rFonts w:ascii="Arial" w:hAnsi="Arial" w:cs="Arial"/>
          <w:b/>
          <w:iCs/>
        </w:rPr>
        <w:t>Network</w:t>
      </w:r>
      <w:r w:rsidRPr="0097271B">
        <w:rPr>
          <w:rFonts w:ascii="Arial" w:hAnsi="Arial" w:cs="Arial"/>
          <w:b/>
        </w:rPr>
        <w:t xml:space="preserve"> Telehealth </w:t>
      </w:r>
      <w:r w:rsidRPr="0097271B">
        <w:rPr>
          <w:rFonts w:ascii="Arial" w:hAnsi="Arial" w:cs="Arial"/>
          <w:b/>
          <w:iCs/>
        </w:rPr>
        <w:t>Coefficient</w:t>
      </w:r>
      <w:r w:rsidRPr="0097271B">
        <w:rPr>
          <w:rFonts w:ascii="Arial" w:hAnsi="Arial" w:cs="Arial"/>
        </w:rPr>
        <w:t xml:space="preserve"> = </w:t>
      </w:r>
      <m:oMath>
        <m:r>
          <w:rPr>
            <w:rFonts w:ascii="Cambria Math" w:hAnsi="Cambria Math" w:cs="Arial"/>
          </w:rPr>
          <m:t>0.2</m:t>
        </m:r>
      </m:oMath>
    </w:p>
    <w:p w14:paraId="38BB7AAE" w14:textId="77777777" w:rsidR="00C662AE" w:rsidRPr="0097271B" w:rsidRDefault="00C662AE" w:rsidP="00583120">
      <w:pPr>
        <w:spacing w:after="240"/>
        <w:textAlignment w:val="baseline"/>
        <w:rPr>
          <w:rFonts w:ascii="Arial" w:hAnsi="Arial" w:cs="Arial"/>
        </w:rPr>
      </w:pPr>
      <w:r w:rsidRPr="0097271B">
        <w:rPr>
          <w:rFonts w:ascii="Arial" w:hAnsi="Arial" w:cs="Arial"/>
        </w:rPr>
        <w:t>The telehealth ratio modifier for the network service-area county is calculated at the network and county level as:</w:t>
      </w:r>
    </w:p>
    <w:p w14:paraId="7C4C4C72" w14:textId="6FCD381B" w:rsidR="00EF4D4D" w:rsidRPr="0097271B" w:rsidRDefault="00C662AE" w:rsidP="00583120">
      <w:pPr>
        <w:spacing w:after="240"/>
        <w:ind w:left="540"/>
        <w:rPr>
          <w:rFonts w:ascii="Arial" w:hAnsi="Arial" w:cs="Arial"/>
          <w:bCs/>
          <w:iCs/>
        </w:rPr>
      </w:pPr>
      <w:r w:rsidRPr="0097271B">
        <w:rPr>
          <w:rFonts w:ascii="Arial" w:hAnsi="Arial" w:cs="Arial"/>
          <w:b/>
          <w:iCs/>
        </w:rPr>
        <w:t xml:space="preserve">Telehealth Ratio Modifier </w:t>
      </w:r>
      <w:r w:rsidRPr="0097271B">
        <w:rPr>
          <w:rStyle w:val="eop"/>
          <w:rFonts w:ascii="Arial" w:hAnsi="Arial" w:cs="Arial"/>
        </w:rPr>
        <w:t xml:space="preserve">= (The summed FTE starting values and FTE starting value adjustments for network providers in the county) * </w:t>
      </w:r>
      <w:r w:rsidRPr="0097271B">
        <w:rPr>
          <w:rFonts w:ascii="Arial" w:hAnsi="Arial" w:cs="Arial"/>
          <w:bCs/>
          <w:iCs/>
        </w:rPr>
        <w:t>(Network Telehealth Coefficient)</w:t>
      </w:r>
    </w:p>
    <w:p w14:paraId="3A18A239" w14:textId="760D64A3" w:rsidR="00C662AE" w:rsidRPr="0097271B" w:rsidRDefault="00C662AE" w:rsidP="00583120">
      <w:pPr>
        <w:spacing w:after="240"/>
        <w:rPr>
          <w:rFonts w:ascii="Arial" w:hAnsi="Arial" w:cs="Arial"/>
          <w:b/>
          <w:bCs/>
        </w:rPr>
      </w:pPr>
      <w:r w:rsidRPr="0097271B">
        <w:rPr>
          <w:rFonts w:ascii="Arial" w:hAnsi="Arial" w:cs="Arial"/>
          <w:b/>
          <w:bCs/>
          <w:strike/>
        </w:rPr>
        <w:t>Examples</w:t>
      </w:r>
      <w:r w:rsidR="007A32C2" w:rsidRPr="0097271B">
        <w:rPr>
          <w:rFonts w:ascii="Arial" w:hAnsi="Arial" w:cs="Arial"/>
          <w:b/>
          <w:bCs/>
          <w:strike/>
        </w:rPr>
        <w:t xml:space="preserve"> </w:t>
      </w:r>
      <w:r w:rsidR="007A32C2" w:rsidRPr="0097271B">
        <w:rPr>
          <w:rFonts w:ascii="Arial" w:hAnsi="Arial" w:cs="Arial"/>
          <w:b/>
          <w:bCs/>
          <w:u w:val="single"/>
        </w:rPr>
        <w:t>Example 2</w:t>
      </w:r>
      <w:r w:rsidRPr="0097271B">
        <w:rPr>
          <w:rFonts w:ascii="Arial" w:hAnsi="Arial" w:cs="Arial"/>
          <w:b/>
          <w:bCs/>
        </w:rPr>
        <w:t>:</w:t>
      </w:r>
    </w:p>
    <w:p w14:paraId="5E1432B5" w14:textId="1C74699D" w:rsidR="00C662AE" w:rsidRPr="0097271B" w:rsidRDefault="00C662AE" w:rsidP="00583120">
      <w:pPr>
        <w:spacing w:after="240"/>
        <w:rPr>
          <w:rFonts w:ascii="Arial" w:hAnsi="Arial" w:cs="Arial"/>
        </w:rPr>
      </w:pPr>
      <w:r w:rsidRPr="0097271B">
        <w:rPr>
          <w:rFonts w:ascii="Arial" w:hAnsi="Arial" w:cs="Arial"/>
          <w:b/>
          <w:bCs/>
        </w:rPr>
        <w:t xml:space="preserve">Table C </w:t>
      </w:r>
      <w:r w:rsidRPr="0097271B">
        <w:rPr>
          <w:rFonts w:ascii="Arial" w:hAnsi="Arial" w:cs="Arial"/>
        </w:rPr>
        <w:t xml:space="preserve">provides example calculations for the Telehealth ratio modifier, applying the figures from the hypothetical counties depicted in Schedule A, Table B (Siskiyou and Shasta Counties). In the example, the network </w:t>
      </w:r>
      <w:r w:rsidRPr="0097271B">
        <w:rPr>
          <w:rFonts w:ascii="Arial" w:hAnsi="Arial" w:cs="Arial"/>
          <w:i/>
          <w:iCs/>
        </w:rPr>
        <w:t xml:space="preserve">as a whole </w:t>
      </w:r>
      <w:r w:rsidRPr="0097271B">
        <w:rPr>
          <w:rFonts w:ascii="Arial" w:hAnsi="Arial" w:cs="Arial"/>
        </w:rPr>
        <w:t xml:space="preserve">has one telehealth-only </w:t>
      </w:r>
      <w:r w:rsidR="007D1B8A" w:rsidRPr="0097271B">
        <w:rPr>
          <w:rFonts w:ascii="Arial" w:hAnsi="Arial" w:cs="Arial"/>
        </w:rPr>
        <w:t>C</w:t>
      </w:r>
      <w:r w:rsidRPr="0097271B">
        <w:rPr>
          <w:rFonts w:ascii="Arial" w:hAnsi="Arial" w:cs="Arial"/>
        </w:rPr>
        <w:t xml:space="preserve">ounseling MHP and a total of 20 </w:t>
      </w:r>
      <w:r w:rsidR="007D1B8A" w:rsidRPr="0097271B">
        <w:rPr>
          <w:rFonts w:ascii="Arial" w:hAnsi="Arial" w:cs="Arial"/>
        </w:rPr>
        <w:t>C</w:t>
      </w:r>
      <w:r w:rsidRPr="0097271B">
        <w:rPr>
          <w:rFonts w:ascii="Arial" w:hAnsi="Arial" w:cs="Arial"/>
        </w:rPr>
        <w:t xml:space="preserve">ounseling MHPs at practice locations that provide in-person services on an outpatient basis. </w:t>
      </w:r>
      <w:r w:rsidR="009305B6" w:rsidRPr="0097271B">
        <w:rPr>
          <w:rFonts w:ascii="Arial" w:hAnsi="Arial" w:cs="Arial"/>
          <w:u w:val="single"/>
        </w:rPr>
        <w:t>This includes</w:t>
      </w:r>
      <w:r w:rsidR="00D5488D" w:rsidRPr="0097271B">
        <w:rPr>
          <w:rFonts w:ascii="Arial" w:hAnsi="Arial" w:cs="Arial"/>
          <w:u w:val="single"/>
        </w:rPr>
        <w:t xml:space="preserve"> 3</w:t>
      </w:r>
      <w:r w:rsidR="009305B6" w:rsidRPr="0097271B">
        <w:rPr>
          <w:rFonts w:ascii="Arial" w:hAnsi="Arial" w:cs="Arial"/>
          <w:u w:val="single"/>
        </w:rPr>
        <w:t xml:space="preserve"> network providers in Lake County that do </w:t>
      </w:r>
      <w:r w:rsidR="0059315E" w:rsidRPr="0097271B">
        <w:rPr>
          <w:rFonts w:ascii="Arial" w:hAnsi="Arial" w:cs="Arial"/>
          <w:u w:val="single"/>
        </w:rPr>
        <w:t xml:space="preserve">not </w:t>
      </w:r>
      <w:r w:rsidR="00D5488D" w:rsidRPr="0097271B">
        <w:rPr>
          <w:rFonts w:ascii="Arial" w:hAnsi="Arial" w:cs="Arial"/>
          <w:u w:val="single"/>
        </w:rPr>
        <w:t xml:space="preserve">also </w:t>
      </w:r>
      <w:r w:rsidR="009305B6" w:rsidRPr="0097271B">
        <w:rPr>
          <w:rFonts w:ascii="Arial" w:hAnsi="Arial" w:cs="Arial"/>
          <w:u w:val="single"/>
        </w:rPr>
        <w:t>have a practice address location within the netw</w:t>
      </w:r>
      <w:r w:rsidR="00EE49C3" w:rsidRPr="0097271B">
        <w:rPr>
          <w:rFonts w:ascii="Arial" w:hAnsi="Arial" w:cs="Arial"/>
          <w:u w:val="single"/>
        </w:rPr>
        <w:t xml:space="preserve">ork service area. See Table I for more information. </w:t>
      </w:r>
      <w:r w:rsidRPr="0097271B">
        <w:rPr>
          <w:rFonts w:ascii="Arial" w:hAnsi="Arial" w:cs="Arial"/>
        </w:rPr>
        <w:t>This leads to a telehealth coefficient of 0.05.</w:t>
      </w:r>
    </w:p>
    <w:p w14:paraId="47EA26F7" w14:textId="77777777" w:rsidR="00C662AE" w:rsidRPr="00A32CBB" w:rsidRDefault="00C662AE" w:rsidP="00583120">
      <w:pPr>
        <w:spacing w:before="2880" w:after="240"/>
        <w:jc w:val="center"/>
        <w:rPr>
          <w:rFonts w:ascii="Arial" w:hAnsi="Arial" w:cs="Arial"/>
          <w:b/>
        </w:rPr>
      </w:pPr>
      <w:r w:rsidRPr="0097271B">
        <w:rPr>
          <w:rFonts w:ascii="Arial" w:hAnsi="Arial" w:cs="Arial"/>
          <w:b/>
        </w:rPr>
        <w:lastRenderedPageBreak/>
        <w:t>Table C: Telehealth Ratio Modifier for Two Network Counties*</w:t>
      </w:r>
    </w:p>
    <w:tbl>
      <w:tblPr>
        <w:tblW w:w="8995" w:type="dxa"/>
        <w:jc w:val="center"/>
        <w:tblLook w:val="04A0" w:firstRow="1" w:lastRow="0" w:firstColumn="1" w:lastColumn="0" w:noHBand="0" w:noVBand="1"/>
        <w:tblCaption w:val="Table C"/>
        <w:tblDescription w:val="Table C: Telehealth Ratio Modifier for Two Network Counties*"/>
      </w:tblPr>
      <w:tblGrid>
        <w:gridCol w:w="2875"/>
        <w:gridCol w:w="2070"/>
        <w:gridCol w:w="2070"/>
        <w:gridCol w:w="1980"/>
      </w:tblGrid>
      <w:tr w:rsidR="00C662AE" w:rsidRPr="00A32CBB" w14:paraId="43191F4B" w14:textId="77777777" w:rsidTr="00EE1BDF">
        <w:trPr>
          <w:trHeight w:val="720"/>
          <w:tblHeader/>
          <w:jc w:val="center"/>
        </w:trPr>
        <w:tc>
          <w:tcPr>
            <w:tcW w:w="2875" w:type="dxa"/>
            <w:tcBorders>
              <w:top w:val="single" w:sz="4" w:space="0" w:color="auto"/>
              <w:left w:val="single" w:sz="4" w:space="0" w:color="auto"/>
              <w:bottom w:val="single" w:sz="4" w:space="0" w:color="auto"/>
              <w:right w:val="single" w:sz="4" w:space="0" w:color="auto"/>
            </w:tcBorders>
            <w:shd w:val="clear" w:color="auto" w:fill="035530"/>
            <w:noWrap/>
            <w:vAlign w:val="center"/>
            <w:hideMark/>
          </w:tcPr>
          <w:p w14:paraId="7CE5AA11" w14:textId="77777777" w:rsidR="00C662AE" w:rsidRPr="00A32CBB" w:rsidRDefault="00C662AE" w:rsidP="00583120">
            <w:pPr>
              <w:jc w:val="center"/>
              <w:rPr>
                <w:rFonts w:ascii="Arial" w:hAnsi="Arial" w:cs="Arial"/>
              </w:rPr>
            </w:pPr>
          </w:p>
        </w:tc>
        <w:tc>
          <w:tcPr>
            <w:tcW w:w="2070" w:type="dxa"/>
            <w:tcBorders>
              <w:top w:val="single" w:sz="4" w:space="0" w:color="auto"/>
              <w:left w:val="nil"/>
              <w:bottom w:val="single" w:sz="4" w:space="0" w:color="auto"/>
              <w:right w:val="single" w:sz="4" w:space="0" w:color="auto"/>
            </w:tcBorders>
            <w:shd w:val="clear" w:color="auto" w:fill="035530"/>
            <w:vAlign w:val="center"/>
            <w:hideMark/>
          </w:tcPr>
          <w:p w14:paraId="11BA544D" w14:textId="5E29E8E5" w:rsidR="00C662AE" w:rsidRPr="00A32CBB" w:rsidRDefault="00C662AE" w:rsidP="00583120">
            <w:pPr>
              <w:jc w:val="center"/>
              <w:rPr>
                <w:rFonts w:ascii="Arial" w:hAnsi="Arial" w:cs="Arial"/>
                <w:b/>
              </w:rPr>
            </w:pPr>
            <w:r w:rsidRPr="00A32CBB">
              <w:rPr>
                <w:rFonts w:ascii="Arial" w:hAnsi="Arial" w:cs="Arial"/>
                <w:b/>
              </w:rPr>
              <w:t>Telehealth</w:t>
            </w:r>
            <w:r w:rsidR="00C74698">
              <w:rPr>
                <w:rFonts w:ascii="Arial" w:hAnsi="Arial" w:cs="Arial"/>
                <w:b/>
              </w:rPr>
              <w:t>-</w:t>
            </w:r>
            <w:r w:rsidRPr="00A32CBB">
              <w:rPr>
                <w:rFonts w:ascii="Arial" w:hAnsi="Arial" w:cs="Arial"/>
                <w:b/>
              </w:rPr>
              <w:t>Only Providers</w:t>
            </w:r>
          </w:p>
        </w:tc>
        <w:tc>
          <w:tcPr>
            <w:tcW w:w="2070" w:type="dxa"/>
            <w:tcBorders>
              <w:top w:val="single" w:sz="4" w:space="0" w:color="auto"/>
              <w:left w:val="nil"/>
              <w:bottom w:val="single" w:sz="4" w:space="0" w:color="auto"/>
              <w:right w:val="single" w:sz="4" w:space="0" w:color="auto"/>
            </w:tcBorders>
            <w:shd w:val="clear" w:color="auto" w:fill="035530"/>
            <w:vAlign w:val="center"/>
            <w:hideMark/>
          </w:tcPr>
          <w:p w14:paraId="3440C6D8" w14:textId="77777777" w:rsidR="00C662AE" w:rsidRPr="00A32CBB" w:rsidRDefault="00C662AE" w:rsidP="00583120">
            <w:pPr>
              <w:jc w:val="center"/>
              <w:rPr>
                <w:rFonts w:ascii="Arial" w:hAnsi="Arial" w:cs="Arial"/>
                <w:b/>
              </w:rPr>
            </w:pPr>
            <w:r w:rsidRPr="00A32CBB">
              <w:rPr>
                <w:rFonts w:ascii="Arial" w:hAnsi="Arial" w:cs="Arial"/>
                <w:b/>
              </w:rPr>
              <w:t>In-Person Providers</w:t>
            </w:r>
          </w:p>
        </w:tc>
        <w:tc>
          <w:tcPr>
            <w:tcW w:w="1980" w:type="dxa"/>
            <w:tcBorders>
              <w:top w:val="single" w:sz="4" w:space="0" w:color="auto"/>
              <w:left w:val="nil"/>
              <w:bottom w:val="single" w:sz="4" w:space="0" w:color="auto"/>
              <w:right w:val="single" w:sz="4" w:space="0" w:color="auto"/>
            </w:tcBorders>
            <w:shd w:val="clear" w:color="auto" w:fill="035530"/>
            <w:vAlign w:val="center"/>
            <w:hideMark/>
          </w:tcPr>
          <w:p w14:paraId="34192124" w14:textId="77777777" w:rsidR="00C662AE" w:rsidRPr="00A32CBB" w:rsidRDefault="00C662AE" w:rsidP="00583120">
            <w:pPr>
              <w:jc w:val="center"/>
              <w:rPr>
                <w:rFonts w:ascii="Arial" w:hAnsi="Arial" w:cs="Arial"/>
                <w:b/>
              </w:rPr>
            </w:pPr>
            <w:r w:rsidRPr="00A32CBB">
              <w:rPr>
                <w:rFonts w:ascii="Arial" w:hAnsi="Arial" w:cs="Arial"/>
                <w:b/>
              </w:rPr>
              <w:t>Telehealth Coefficient</w:t>
            </w:r>
          </w:p>
        </w:tc>
      </w:tr>
      <w:tr w:rsidR="00C662AE" w:rsidRPr="00A32CBB" w14:paraId="5FDB2B4D" w14:textId="77777777" w:rsidTr="00A3450E">
        <w:trPr>
          <w:trHeight w:val="720"/>
          <w:jc w:val="center"/>
        </w:trPr>
        <w:tc>
          <w:tcPr>
            <w:tcW w:w="2875" w:type="dxa"/>
            <w:tcBorders>
              <w:top w:val="single" w:sz="4" w:space="0" w:color="auto"/>
              <w:left w:val="single" w:sz="4" w:space="0" w:color="auto"/>
              <w:bottom w:val="single" w:sz="4" w:space="0" w:color="auto"/>
              <w:right w:val="single" w:sz="4" w:space="0" w:color="auto"/>
            </w:tcBorders>
            <w:vAlign w:val="center"/>
            <w:hideMark/>
          </w:tcPr>
          <w:p w14:paraId="35D26972" w14:textId="77777777" w:rsidR="00C662AE" w:rsidRPr="00A32CBB" w:rsidRDefault="00C662AE" w:rsidP="00583120">
            <w:pPr>
              <w:jc w:val="center"/>
              <w:rPr>
                <w:rFonts w:ascii="Arial" w:hAnsi="Arial" w:cs="Arial"/>
                <w:bCs/>
              </w:rPr>
            </w:pPr>
            <w:r w:rsidRPr="00A32CBB">
              <w:rPr>
                <w:rFonts w:ascii="Arial" w:hAnsi="Arial" w:cs="Arial"/>
                <w:bCs/>
              </w:rPr>
              <w:t>Network Telehealth Coefficient Calculation</w:t>
            </w:r>
          </w:p>
        </w:tc>
        <w:tc>
          <w:tcPr>
            <w:tcW w:w="2070" w:type="dxa"/>
            <w:tcBorders>
              <w:top w:val="single" w:sz="4" w:space="0" w:color="auto"/>
              <w:left w:val="nil"/>
              <w:bottom w:val="single" w:sz="4" w:space="0" w:color="auto"/>
              <w:right w:val="single" w:sz="4" w:space="0" w:color="auto"/>
            </w:tcBorders>
            <w:noWrap/>
            <w:vAlign w:val="center"/>
            <w:hideMark/>
          </w:tcPr>
          <w:p w14:paraId="64241526" w14:textId="77777777" w:rsidR="00C662AE" w:rsidRPr="00A32CBB" w:rsidRDefault="00C662AE" w:rsidP="00583120">
            <w:pPr>
              <w:jc w:val="center"/>
              <w:rPr>
                <w:rFonts w:ascii="Arial" w:hAnsi="Arial" w:cs="Arial"/>
                <w:bCs/>
              </w:rPr>
            </w:pPr>
            <w:r w:rsidRPr="00A32CBB">
              <w:rPr>
                <w:rFonts w:ascii="Arial" w:hAnsi="Arial" w:cs="Arial"/>
                <w:bCs/>
              </w:rPr>
              <w:t>1</w:t>
            </w:r>
          </w:p>
        </w:tc>
        <w:tc>
          <w:tcPr>
            <w:tcW w:w="2070" w:type="dxa"/>
            <w:tcBorders>
              <w:top w:val="single" w:sz="4" w:space="0" w:color="auto"/>
              <w:left w:val="nil"/>
              <w:bottom w:val="single" w:sz="4" w:space="0" w:color="auto"/>
              <w:right w:val="single" w:sz="4" w:space="0" w:color="auto"/>
            </w:tcBorders>
            <w:noWrap/>
            <w:vAlign w:val="center"/>
            <w:hideMark/>
          </w:tcPr>
          <w:p w14:paraId="574C51BB" w14:textId="77777777" w:rsidR="00C662AE" w:rsidRPr="00A32CBB" w:rsidRDefault="00C662AE" w:rsidP="00583120">
            <w:pPr>
              <w:jc w:val="center"/>
              <w:rPr>
                <w:rFonts w:ascii="Arial" w:hAnsi="Arial" w:cs="Arial"/>
                <w:bCs/>
              </w:rPr>
            </w:pPr>
            <w:r w:rsidRPr="00A32CBB">
              <w:rPr>
                <w:rFonts w:ascii="Arial" w:hAnsi="Arial" w:cs="Arial"/>
                <w:bCs/>
              </w:rPr>
              <w:t>20</w:t>
            </w:r>
          </w:p>
        </w:tc>
        <w:tc>
          <w:tcPr>
            <w:tcW w:w="1980" w:type="dxa"/>
            <w:tcBorders>
              <w:top w:val="single" w:sz="4" w:space="0" w:color="auto"/>
              <w:left w:val="nil"/>
              <w:bottom w:val="single" w:sz="4" w:space="0" w:color="auto"/>
              <w:right w:val="single" w:sz="4" w:space="0" w:color="auto"/>
            </w:tcBorders>
            <w:noWrap/>
            <w:vAlign w:val="center"/>
            <w:hideMark/>
          </w:tcPr>
          <w:p w14:paraId="25E86799" w14:textId="7EE47772" w:rsidR="00C662AE" w:rsidRPr="00A32CBB" w:rsidRDefault="00C662AE" w:rsidP="00583120">
            <w:pPr>
              <w:jc w:val="center"/>
              <w:rPr>
                <w:rFonts w:ascii="Arial" w:hAnsi="Arial" w:cs="Arial"/>
                <w:bCs/>
              </w:rPr>
            </w:pPr>
            <w:r w:rsidRPr="00A32CBB">
              <w:rPr>
                <w:rFonts w:ascii="Arial" w:hAnsi="Arial" w:cs="Arial"/>
                <w:bCs/>
              </w:rPr>
              <w:t>1</w:t>
            </w:r>
            <w:r w:rsidR="00CC6C39" w:rsidRPr="00EF4D4D">
              <w:rPr>
                <w:rFonts w:ascii="Arial" w:hAnsi="Arial" w:cs="Arial"/>
              </w:rPr>
              <w:t>÷</w:t>
            </w:r>
            <w:r w:rsidRPr="00A32CBB">
              <w:rPr>
                <w:rFonts w:ascii="Arial" w:hAnsi="Arial" w:cs="Arial"/>
                <w:bCs/>
              </w:rPr>
              <w:t>20 = 0.05</w:t>
            </w:r>
          </w:p>
        </w:tc>
      </w:tr>
    </w:tbl>
    <w:p w14:paraId="76191730" w14:textId="77777777" w:rsidR="00C662AE" w:rsidRPr="00A32CBB" w:rsidRDefault="00C662AE" w:rsidP="00583120"/>
    <w:tbl>
      <w:tblPr>
        <w:tblW w:w="9005" w:type="dxa"/>
        <w:jc w:val="center"/>
        <w:tblLayout w:type="fixed"/>
        <w:tblLook w:val="04A0" w:firstRow="1" w:lastRow="0" w:firstColumn="1" w:lastColumn="0" w:noHBand="0" w:noVBand="1"/>
        <w:tblCaption w:val="Table C"/>
        <w:tblDescription w:val="Table C: Telehealth Ratio Modifier for Two Network Counties*"/>
      </w:tblPr>
      <w:tblGrid>
        <w:gridCol w:w="4225"/>
        <w:gridCol w:w="2390"/>
        <w:gridCol w:w="2390"/>
      </w:tblGrid>
      <w:tr w:rsidR="00A32CBB" w:rsidRPr="00A32CBB" w14:paraId="3D340686" w14:textId="77777777" w:rsidTr="00EE1BDF">
        <w:trPr>
          <w:trHeight w:val="720"/>
          <w:tblHeader/>
          <w:jc w:val="center"/>
        </w:trPr>
        <w:tc>
          <w:tcPr>
            <w:tcW w:w="4225" w:type="dxa"/>
            <w:tcBorders>
              <w:top w:val="single" w:sz="4" w:space="0" w:color="auto"/>
              <w:left w:val="single" w:sz="4" w:space="0" w:color="auto"/>
              <w:bottom w:val="single" w:sz="4" w:space="0" w:color="auto"/>
              <w:right w:val="single" w:sz="4" w:space="0" w:color="auto"/>
            </w:tcBorders>
            <w:shd w:val="clear" w:color="auto" w:fill="035530"/>
            <w:noWrap/>
            <w:vAlign w:val="center"/>
            <w:hideMark/>
          </w:tcPr>
          <w:p w14:paraId="3B9B940F" w14:textId="77777777" w:rsidR="00C662AE" w:rsidRPr="00A32CBB" w:rsidRDefault="00C662AE" w:rsidP="00583120">
            <w:pPr>
              <w:jc w:val="center"/>
              <w:rPr>
                <w:rFonts w:ascii="Arial" w:hAnsi="Arial" w:cs="Arial"/>
                <w:b/>
              </w:rPr>
            </w:pPr>
            <w:r w:rsidRPr="00A32CBB">
              <w:rPr>
                <w:rFonts w:ascii="Arial" w:hAnsi="Arial" w:cs="Arial"/>
                <w:b/>
              </w:rPr>
              <w:t>County Capacity Calculations</w:t>
            </w:r>
          </w:p>
        </w:tc>
        <w:tc>
          <w:tcPr>
            <w:tcW w:w="2390" w:type="dxa"/>
            <w:tcBorders>
              <w:top w:val="single" w:sz="4" w:space="0" w:color="auto"/>
              <w:left w:val="nil"/>
              <w:bottom w:val="single" w:sz="4" w:space="0" w:color="auto"/>
              <w:right w:val="single" w:sz="4" w:space="0" w:color="auto"/>
            </w:tcBorders>
            <w:shd w:val="clear" w:color="auto" w:fill="035530"/>
            <w:noWrap/>
            <w:vAlign w:val="center"/>
            <w:hideMark/>
          </w:tcPr>
          <w:p w14:paraId="4167C08F" w14:textId="77777777" w:rsidR="00C662AE" w:rsidRPr="00A32CBB" w:rsidRDefault="00C662AE" w:rsidP="00583120">
            <w:pPr>
              <w:jc w:val="center"/>
              <w:rPr>
                <w:rFonts w:ascii="Arial" w:hAnsi="Arial" w:cs="Arial"/>
                <w:b/>
              </w:rPr>
            </w:pPr>
            <w:r w:rsidRPr="00A32CBB">
              <w:rPr>
                <w:rFonts w:ascii="Arial" w:hAnsi="Arial" w:cs="Arial"/>
                <w:b/>
              </w:rPr>
              <w:t>Siskiyou</w:t>
            </w:r>
          </w:p>
        </w:tc>
        <w:tc>
          <w:tcPr>
            <w:tcW w:w="2390" w:type="dxa"/>
            <w:tcBorders>
              <w:top w:val="single" w:sz="4" w:space="0" w:color="auto"/>
              <w:left w:val="nil"/>
              <w:bottom w:val="single" w:sz="4" w:space="0" w:color="auto"/>
              <w:right w:val="single" w:sz="4" w:space="0" w:color="auto"/>
            </w:tcBorders>
            <w:shd w:val="clear" w:color="auto" w:fill="035530"/>
            <w:noWrap/>
            <w:vAlign w:val="center"/>
            <w:hideMark/>
          </w:tcPr>
          <w:p w14:paraId="4452F2A9" w14:textId="77777777" w:rsidR="00C662AE" w:rsidRPr="00A32CBB" w:rsidRDefault="00C662AE" w:rsidP="00583120">
            <w:pPr>
              <w:jc w:val="center"/>
              <w:rPr>
                <w:rFonts w:ascii="Arial" w:hAnsi="Arial" w:cs="Arial"/>
                <w:b/>
              </w:rPr>
            </w:pPr>
            <w:r w:rsidRPr="00A32CBB">
              <w:rPr>
                <w:rFonts w:ascii="Arial" w:hAnsi="Arial" w:cs="Arial"/>
                <w:b/>
              </w:rPr>
              <w:t>Shasta</w:t>
            </w:r>
          </w:p>
        </w:tc>
      </w:tr>
      <w:tr w:rsidR="00C662AE" w:rsidRPr="0045472C" w14:paraId="3D593F6A" w14:textId="77777777" w:rsidTr="00831CD8">
        <w:trPr>
          <w:trHeight w:val="720"/>
          <w:jc w:val="center"/>
        </w:trPr>
        <w:tc>
          <w:tcPr>
            <w:tcW w:w="4225" w:type="dxa"/>
            <w:tcBorders>
              <w:top w:val="nil"/>
              <w:left w:val="single" w:sz="4" w:space="0" w:color="auto"/>
              <w:bottom w:val="single" w:sz="4" w:space="0" w:color="auto"/>
              <w:right w:val="single" w:sz="4" w:space="0" w:color="auto"/>
            </w:tcBorders>
            <w:vAlign w:val="center"/>
            <w:hideMark/>
          </w:tcPr>
          <w:p w14:paraId="0FEB2750" w14:textId="547F8EB6" w:rsidR="00C662AE" w:rsidRPr="0097271B" w:rsidRDefault="00C662AE" w:rsidP="00583120">
            <w:pPr>
              <w:jc w:val="center"/>
              <w:rPr>
                <w:rFonts w:ascii="Arial" w:hAnsi="Arial" w:cs="Arial"/>
              </w:rPr>
            </w:pPr>
            <w:r w:rsidRPr="0097271B">
              <w:rPr>
                <w:rFonts w:ascii="Arial" w:hAnsi="Arial" w:cs="Arial"/>
              </w:rPr>
              <w:t>Summed FTE Values, Derived in Schedule A,</w:t>
            </w:r>
            <w:r w:rsidRPr="0097271B">
              <w:t xml:space="preserve"> </w:t>
            </w:r>
            <w:r w:rsidRPr="0097271B">
              <w:rPr>
                <w:rFonts w:ascii="Arial" w:hAnsi="Arial" w:cs="Arial"/>
              </w:rPr>
              <w:t>Table B</w:t>
            </w:r>
          </w:p>
        </w:tc>
        <w:tc>
          <w:tcPr>
            <w:tcW w:w="2390" w:type="dxa"/>
            <w:tcBorders>
              <w:top w:val="nil"/>
              <w:left w:val="nil"/>
              <w:bottom w:val="single" w:sz="4" w:space="0" w:color="auto"/>
              <w:right w:val="single" w:sz="4" w:space="0" w:color="auto"/>
            </w:tcBorders>
            <w:noWrap/>
            <w:vAlign w:val="center"/>
            <w:hideMark/>
          </w:tcPr>
          <w:p w14:paraId="5152B28E" w14:textId="77777777" w:rsidR="00C662AE" w:rsidRPr="0097271B" w:rsidRDefault="00C662AE" w:rsidP="00583120">
            <w:pPr>
              <w:jc w:val="center"/>
              <w:rPr>
                <w:rFonts w:ascii="Arial" w:hAnsi="Arial" w:cs="Arial"/>
              </w:rPr>
            </w:pPr>
            <w:r w:rsidRPr="0097271B">
              <w:rPr>
                <w:rFonts w:ascii="Arial" w:hAnsi="Arial" w:cs="Arial"/>
              </w:rPr>
              <w:t>0.32</w:t>
            </w:r>
          </w:p>
        </w:tc>
        <w:tc>
          <w:tcPr>
            <w:tcW w:w="2390" w:type="dxa"/>
            <w:tcBorders>
              <w:top w:val="nil"/>
              <w:left w:val="nil"/>
              <w:bottom w:val="single" w:sz="4" w:space="0" w:color="auto"/>
              <w:right w:val="single" w:sz="4" w:space="0" w:color="auto"/>
            </w:tcBorders>
            <w:noWrap/>
            <w:vAlign w:val="center"/>
            <w:hideMark/>
          </w:tcPr>
          <w:p w14:paraId="6C98CF65" w14:textId="77777777" w:rsidR="00C662AE" w:rsidRPr="0097271B" w:rsidRDefault="00C662AE" w:rsidP="00583120">
            <w:pPr>
              <w:jc w:val="center"/>
              <w:rPr>
                <w:rFonts w:ascii="Arial" w:hAnsi="Arial" w:cs="Arial"/>
              </w:rPr>
            </w:pPr>
            <w:r w:rsidRPr="0097271B">
              <w:rPr>
                <w:rFonts w:ascii="Arial" w:hAnsi="Arial" w:cs="Arial"/>
              </w:rPr>
              <w:t>1.69</w:t>
            </w:r>
          </w:p>
        </w:tc>
      </w:tr>
      <w:tr w:rsidR="00C662AE" w:rsidRPr="0045472C" w14:paraId="79951571" w14:textId="77777777" w:rsidTr="00831CD8">
        <w:trPr>
          <w:trHeight w:val="720"/>
          <w:jc w:val="center"/>
        </w:trPr>
        <w:tc>
          <w:tcPr>
            <w:tcW w:w="4225" w:type="dxa"/>
            <w:tcBorders>
              <w:top w:val="nil"/>
              <w:left w:val="single" w:sz="4" w:space="0" w:color="auto"/>
              <w:bottom w:val="single" w:sz="4" w:space="0" w:color="auto"/>
              <w:right w:val="single" w:sz="4" w:space="0" w:color="auto"/>
            </w:tcBorders>
            <w:noWrap/>
            <w:vAlign w:val="center"/>
            <w:hideMark/>
          </w:tcPr>
          <w:p w14:paraId="23E2AABD" w14:textId="57CF86C1" w:rsidR="00C662AE" w:rsidRPr="0097271B" w:rsidRDefault="00C662AE" w:rsidP="00583120">
            <w:pPr>
              <w:jc w:val="center"/>
              <w:rPr>
                <w:rFonts w:ascii="Arial" w:hAnsi="Arial" w:cs="Arial"/>
              </w:rPr>
            </w:pPr>
            <w:r w:rsidRPr="0097271B">
              <w:rPr>
                <w:rFonts w:ascii="Arial" w:hAnsi="Arial" w:cs="Arial"/>
              </w:rPr>
              <w:t>Telehealth Coefficient</w:t>
            </w:r>
          </w:p>
        </w:tc>
        <w:tc>
          <w:tcPr>
            <w:tcW w:w="2390" w:type="dxa"/>
            <w:tcBorders>
              <w:top w:val="nil"/>
              <w:left w:val="nil"/>
              <w:bottom w:val="single" w:sz="4" w:space="0" w:color="auto"/>
              <w:right w:val="single" w:sz="4" w:space="0" w:color="auto"/>
            </w:tcBorders>
            <w:noWrap/>
            <w:vAlign w:val="center"/>
            <w:hideMark/>
          </w:tcPr>
          <w:p w14:paraId="6C9E3E22" w14:textId="77777777" w:rsidR="00C662AE" w:rsidRPr="0097271B" w:rsidRDefault="00C662AE" w:rsidP="00583120">
            <w:pPr>
              <w:jc w:val="center"/>
              <w:rPr>
                <w:rFonts w:ascii="Arial" w:hAnsi="Arial" w:cs="Arial"/>
              </w:rPr>
            </w:pPr>
            <w:r w:rsidRPr="0097271B">
              <w:rPr>
                <w:rFonts w:ascii="Arial" w:hAnsi="Arial" w:cs="Arial"/>
              </w:rPr>
              <w:t>0.05</w:t>
            </w:r>
          </w:p>
        </w:tc>
        <w:tc>
          <w:tcPr>
            <w:tcW w:w="2390" w:type="dxa"/>
            <w:tcBorders>
              <w:top w:val="nil"/>
              <w:left w:val="nil"/>
              <w:bottom w:val="single" w:sz="4" w:space="0" w:color="auto"/>
              <w:right w:val="single" w:sz="4" w:space="0" w:color="auto"/>
            </w:tcBorders>
            <w:noWrap/>
            <w:vAlign w:val="center"/>
            <w:hideMark/>
          </w:tcPr>
          <w:p w14:paraId="0DC27F2A" w14:textId="77777777" w:rsidR="00C662AE" w:rsidRPr="0097271B" w:rsidRDefault="00C662AE" w:rsidP="00583120">
            <w:pPr>
              <w:jc w:val="center"/>
              <w:rPr>
                <w:rFonts w:ascii="Arial" w:hAnsi="Arial" w:cs="Arial"/>
              </w:rPr>
            </w:pPr>
            <w:r w:rsidRPr="0097271B">
              <w:rPr>
                <w:rFonts w:ascii="Arial" w:hAnsi="Arial" w:cs="Arial"/>
              </w:rPr>
              <w:t>0.05</w:t>
            </w:r>
          </w:p>
        </w:tc>
      </w:tr>
      <w:tr w:rsidR="00C662AE" w:rsidRPr="0045472C" w14:paraId="401003CD" w14:textId="77777777" w:rsidTr="00831CD8">
        <w:trPr>
          <w:trHeight w:val="720"/>
          <w:jc w:val="center"/>
        </w:trPr>
        <w:tc>
          <w:tcPr>
            <w:tcW w:w="4225" w:type="dxa"/>
            <w:tcBorders>
              <w:top w:val="nil"/>
              <w:left w:val="single" w:sz="4" w:space="0" w:color="auto"/>
              <w:bottom w:val="single" w:sz="4" w:space="0" w:color="auto"/>
              <w:right w:val="single" w:sz="4" w:space="0" w:color="auto"/>
            </w:tcBorders>
            <w:noWrap/>
            <w:vAlign w:val="center"/>
            <w:hideMark/>
          </w:tcPr>
          <w:p w14:paraId="6764902D" w14:textId="4661B3E3" w:rsidR="00C662AE" w:rsidRPr="0097271B" w:rsidRDefault="00C662AE" w:rsidP="00583120">
            <w:pPr>
              <w:jc w:val="center"/>
              <w:rPr>
                <w:rFonts w:ascii="Arial" w:hAnsi="Arial" w:cs="Arial"/>
              </w:rPr>
            </w:pPr>
            <w:r w:rsidRPr="0097271B">
              <w:rPr>
                <w:rFonts w:ascii="Arial" w:hAnsi="Arial" w:cs="Arial"/>
              </w:rPr>
              <w:t xml:space="preserve">Telehealth </w:t>
            </w:r>
            <w:r w:rsidR="00CB5DC1" w:rsidRPr="0097271B">
              <w:rPr>
                <w:rFonts w:ascii="Arial" w:hAnsi="Arial" w:cs="Arial"/>
                <w:u w:val="single"/>
              </w:rPr>
              <w:t>Ratio</w:t>
            </w:r>
            <w:r w:rsidR="00CB5DC1" w:rsidRPr="0097271B">
              <w:rPr>
                <w:rFonts w:ascii="Arial" w:hAnsi="Arial" w:cs="Arial"/>
              </w:rPr>
              <w:t xml:space="preserve"> </w:t>
            </w:r>
            <w:r w:rsidRPr="0097271B">
              <w:rPr>
                <w:rFonts w:ascii="Arial" w:hAnsi="Arial" w:cs="Arial"/>
              </w:rPr>
              <w:t>Modifier</w:t>
            </w:r>
          </w:p>
        </w:tc>
        <w:tc>
          <w:tcPr>
            <w:tcW w:w="2390" w:type="dxa"/>
            <w:tcBorders>
              <w:top w:val="nil"/>
              <w:left w:val="nil"/>
              <w:bottom w:val="single" w:sz="4" w:space="0" w:color="auto"/>
              <w:right w:val="single" w:sz="4" w:space="0" w:color="auto"/>
            </w:tcBorders>
            <w:noWrap/>
            <w:vAlign w:val="center"/>
            <w:hideMark/>
          </w:tcPr>
          <w:p w14:paraId="398822C3" w14:textId="77777777" w:rsidR="00C662AE" w:rsidRPr="0097271B" w:rsidRDefault="00C662AE" w:rsidP="00583120">
            <w:pPr>
              <w:jc w:val="center"/>
              <w:rPr>
                <w:rFonts w:ascii="Arial" w:hAnsi="Arial" w:cs="Arial"/>
              </w:rPr>
            </w:pPr>
            <w:r w:rsidRPr="0097271B">
              <w:rPr>
                <w:rFonts w:ascii="Arial" w:hAnsi="Arial" w:cs="Arial"/>
              </w:rPr>
              <w:t>0.32 * 0.05 = 0.016</w:t>
            </w:r>
          </w:p>
        </w:tc>
        <w:tc>
          <w:tcPr>
            <w:tcW w:w="2390" w:type="dxa"/>
            <w:tcBorders>
              <w:top w:val="nil"/>
              <w:left w:val="nil"/>
              <w:bottom w:val="single" w:sz="4" w:space="0" w:color="auto"/>
              <w:right w:val="single" w:sz="4" w:space="0" w:color="auto"/>
            </w:tcBorders>
            <w:noWrap/>
            <w:vAlign w:val="center"/>
            <w:hideMark/>
          </w:tcPr>
          <w:p w14:paraId="36AA5873" w14:textId="77777777" w:rsidR="00C662AE" w:rsidRPr="0097271B" w:rsidRDefault="00C662AE" w:rsidP="00583120">
            <w:pPr>
              <w:jc w:val="center"/>
              <w:rPr>
                <w:rFonts w:ascii="Arial" w:hAnsi="Arial" w:cs="Arial"/>
              </w:rPr>
            </w:pPr>
            <w:r w:rsidRPr="0097271B">
              <w:rPr>
                <w:rFonts w:ascii="Arial" w:hAnsi="Arial" w:cs="Arial"/>
              </w:rPr>
              <w:t>1.69 * 0.05 = 0.085</w:t>
            </w:r>
          </w:p>
        </w:tc>
      </w:tr>
      <w:tr w:rsidR="00C662AE" w:rsidRPr="0045472C" w14:paraId="49485B89" w14:textId="77777777" w:rsidTr="00831CD8">
        <w:trPr>
          <w:trHeight w:val="720"/>
          <w:jc w:val="center"/>
        </w:trPr>
        <w:tc>
          <w:tcPr>
            <w:tcW w:w="4225" w:type="dxa"/>
            <w:tcBorders>
              <w:top w:val="nil"/>
              <w:left w:val="single" w:sz="4" w:space="0" w:color="auto"/>
              <w:bottom w:val="single" w:sz="4" w:space="0" w:color="auto"/>
              <w:right w:val="single" w:sz="4" w:space="0" w:color="auto"/>
            </w:tcBorders>
            <w:noWrap/>
            <w:vAlign w:val="center"/>
            <w:hideMark/>
          </w:tcPr>
          <w:p w14:paraId="416EA903" w14:textId="77777777" w:rsidR="00C662AE" w:rsidRPr="0097271B" w:rsidRDefault="00C662AE" w:rsidP="00583120">
            <w:pPr>
              <w:jc w:val="center"/>
              <w:rPr>
                <w:rFonts w:ascii="Arial" w:hAnsi="Arial" w:cs="Arial"/>
              </w:rPr>
            </w:pPr>
            <w:r w:rsidRPr="0097271B">
              <w:rPr>
                <w:rFonts w:ascii="Arial" w:hAnsi="Arial" w:cs="Arial"/>
              </w:rPr>
              <w:t>Enrollment</w:t>
            </w:r>
          </w:p>
        </w:tc>
        <w:tc>
          <w:tcPr>
            <w:tcW w:w="2390" w:type="dxa"/>
            <w:tcBorders>
              <w:top w:val="nil"/>
              <w:left w:val="nil"/>
              <w:bottom w:val="single" w:sz="4" w:space="0" w:color="auto"/>
              <w:right w:val="single" w:sz="4" w:space="0" w:color="auto"/>
            </w:tcBorders>
            <w:noWrap/>
            <w:vAlign w:val="center"/>
            <w:hideMark/>
          </w:tcPr>
          <w:p w14:paraId="124DE520" w14:textId="77777777" w:rsidR="00C662AE" w:rsidRPr="0097271B" w:rsidRDefault="00C662AE" w:rsidP="00583120">
            <w:pPr>
              <w:jc w:val="center"/>
              <w:rPr>
                <w:rFonts w:ascii="Arial" w:hAnsi="Arial" w:cs="Arial"/>
              </w:rPr>
            </w:pPr>
            <w:r w:rsidRPr="0097271B">
              <w:rPr>
                <w:rFonts w:ascii="Arial" w:hAnsi="Arial" w:cs="Arial"/>
              </w:rPr>
              <w:t>400</w:t>
            </w:r>
          </w:p>
        </w:tc>
        <w:tc>
          <w:tcPr>
            <w:tcW w:w="2390" w:type="dxa"/>
            <w:tcBorders>
              <w:top w:val="nil"/>
              <w:left w:val="nil"/>
              <w:bottom w:val="single" w:sz="4" w:space="0" w:color="auto"/>
              <w:right w:val="single" w:sz="4" w:space="0" w:color="auto"/>
            </w:tcBorders>
            <w:noWrap/>
            <w:vAlign w:val="center"/>
            <w:hideMark/>
          </w:tcPr>
          <w:p w14:paraId="515BC95A" w14:textId="77777777" w:rsidR="00C662AE" w:rsidRPr="0097271B" w:rsidRDefault="00C662AE" w:rsidP="00583120">
            <w:pPr>
              <w:jc w:val="center"/>
              <w:rPr>
                <w:rFonts w:ascii="Arial" w:hAnsi="Arial" w:cs="Arial"/>
              </w:rPr>
            </w:pPr>
            <w:r w:rsidRPr="0097271B">
              <w:rPr>
                <w:rFonts w:ascii="Arial" w:hAnsi="Arial" w:cs="Arial"/>
              </w:rPr>
              <w:t>3000</w:t>
            </w:r>
          </w:p>
        </w:tc>
      </w:tr>
      <w:tr w:rsidR="00C662AE" w:rsidRPr="0045472C" w14:paraId="46F5B8BA" w14:textId="77777777" w:rsidTr="00831CD8">
        <w:trPr>
          <w:trHeight w:val="720"/>
          <w:jc w:val="center"/>
        </w:trPr>
        <w:tc>
          <w:tcPr>
            <w:tcW w:w="4225" w:type="dxa"/>
            <w:tcBorders>
              <w:top w:val="nil"/>
              <w:left w:val="single" w:sz="4" w:space="0" w:color="auto"/>
              <w:bottom w:val="single" w:sz="4" w:space="0" w:color="auto"/>
              <w:right w:val="single" w:sz="4" w:space="0" w:color="auto"/>
            </w:tcBorders>
            <w:noWrap/>
            <w:vAlign w:val="center"/>
            <w:hideMark/>
          </w:tcPr>
          <w:p w14:paraId="77EC6870" w14:textId="143799DB" w:rsidR="00C662AE" w:rsidRPr="0097271B" w:rsidRDefault="00C662AE" w:rsidP="00583120">
            <w:pPr>
              <w:jc w:val="center"/>
              <w:rPr>
                <w:rFonts w:ascii="Arial" w:hAnsi="Arial" w:cs="Arial"/>
              </w:rPr>
            </w:pPr>
            <w:r w:rsidRPr="0097271B">
              <w:rPr>
                <w:rFonts w:ascii="Arial" w:hAnsi="Arial" w:cs="Arial"/>
                <w:strike/>
              </w:rPr>
              <w:t>Capacity</w:t>
            </w:r>
            <w:r w:rsidR="0047194B" w:rsidRPr="0097271B">
              <w:rPr>
                <w:rFonts w:ascii="Arial" w:hAnsi="Arial" w:cs="Arial"/>
              </w:rPr>
              <w:t xml:space="preserve"> </w:t>
            </w:r>
            <w:r w:rsidR="0047194B" w:rsidRPr="0097271B">
              <w:rPr>
                <w:rFonts w:ascii="Arial" w:hAnsi="Arial" w:cs="Arial"/>
                <w:u w:val="single"/>
              </w:rPr>
              <w:t>FTE</w:t>
            </w:r>
            <w:r w:rsidRPr="0097271B">
              <w:rPr>
                <w:rFonts w:ascii="Arial" w:hAnsi="Arial" w:cs="Arial"/>
              </w:rPr>
              <w:t xml:space="preserve"> Ratio (1:____)</w:t>
            </w:r>
          </w:p>
        </w:tc>
        <w:tc>
          <w:tcPr>
            <w:tcW w:w="2390" w:type="dxa"/>
            <w:tcBorders>
              <w:top w:val="nil"/>
              <w:left w:val="nil"/>
              <w:bottom w:val="single" w:sz="4" w:space="0" w:color="auto"/>
              <w:right w:val="single" w:sz="4" w:space="0" w:color="auto"/>
            </w:tcBorders>
            <w:noWrap/>
            <w:vAlign w:val="center"/>
            <w:hideMark/>
          </w:tcPr>
          <w:p w14:paraId="2A050D5A" w14:textId="128781DA" w:rsidR="00C662AE" w:rsidRPr="0097271B" w:rsidRDefault="00C662AE" w:rsidP="00583120">
            <w:pPr>
              <w:jc w:val="center"/>
              <w:rPr>
                <w:rFonts w:ascii="Arial" w:hAnsi="Arial" w:cs="Arial"/>
              </w:rPr>
            </w:pPr>
            <w:r w:rsidRPr="0097271B">
              <w:rPr>
                <w:rFonts w:ascii="Arial" w:hAnsi="Arial" w:cs="Arial"/>
              </w:rPr>
              <w:t>400</w:t>
            </w:r>
            <w:r w:rsidR="00B44F4A" w:rsidRPr="0097271B">
              <w:rPr>
                <w:rFonts w:ascii="Arial" w:hAnsi="Arial" w:cs="Arial"/>
              </w:rPr>
              <w:t xml:space="preserve"> </w:t>
            </w:r>
            <w:r w:rsidR="00D457DF" w:rsidRPr="0097271B">
              <w:rPr>
                <w:rFonts w:ascii="Arial" w:hAnsi="Arial" w:cs="Arial"/>
              </w:rPr>
              <w:t xml:space="preserve">÷ </w:t>
            </w:r>
            <w:r w:rsidRPr="0097271B">
              <w:rPr>
                <w:rFonts w:ascii="Arial" w:hAnsi="Arial" w:cs="Arial"/>
              </w:rPr>
              <w:t>(0.32 + 0.016) = 1,19</w:t>
            </w:r>
            <w:r w:rsidR="00816A6D" w:rsidRPr="0097271B">
              <w:rPr>
                <w:rFonts w:ascii="Arial" w:hAnsi="Arial" w:cs="Arial"/>
              </w:rPr>
              <w:t>1</w:t>
            </w:r>
          </w:p>
        </w:tc>
        <w:tc>
          <w:tcPr>
            <w:tcW w:w="2390" w:type="dxa"/>
            <w:tcBorders>
              <w:top w:val="nil"/>
              <w:left w:val="nil"/>
              <w:bottom w:val="single" w:sz="4" w:space="0" w:color="auto"/>
              <w:right w:val="single" w:sz="4" w:space="0" w:color="auto"/>
            </w:tcBorders>
            <w:noWrap/>
            <w:vAlign w:val="center"/>
            <w:hideMark/>
          </w:tcPr>
          <w:p w14:paraId="1EDE086B" w14:textId="614CEC1A" w:rsidR="00C662AE" w:rsidRPr="0097271B" w:rsidRDefault="00C662AE" w:rsidP="00583120">
            <w:pPr>
              <w:jc w:val="center"/>
              <w:rPr>
                <w:rFonts w:ascii="Arial" w:hAnsi="Arial" w:cs="Arial"/>
              </w:rPr>
            </w:pPr>
            <w:r w:rsidRPr="0097271B">
              <w:rPr>
                <w:rFonts w:ascii="Arial" w:hAnsi="Arial" w:cs="Arial"/>
              </w:rPr>
              <w:t>3000</w:t>
            </w:r>
            <w:r w:rsidR="00B44F4A" w:rsidRPr="0097271B">
              <w:rPr>
                <w:rFonts w:ascii="Arial" w:hAnsi="Arial" w:cs="Arial"/>
              </w:rPr>
              <w:t xml:space="preserve"> </w:t>
            </w:r>
            <w:r w:rsidR="00D457DF" w:rsidRPr="0097271B">
              <w:rPr>
                <w:rFonts w:ascii="Arial" w:hAnsi="Arial" w:cs="Arial"/>
              </w:rPr>
              <w:t xml:space="preserve">÷ </w:t>
            </w:r>
            <w:r w:rsidRPr="0097271B">
              <w:rPr>
                <w:rFonts w:ascii="Arial" w:hAnsi="Arial" w:cs="Arial"/>
              </w:rPr>
              <w:t>(1.69 + 0.085) = 1,691</w:t>
            </w:r>
          </w:p>
        </w:tc>
      </w:tr>
    </w:tbl>
    <w:p w14:paraId="5BBC98D3" w14:textId="77777777" w:rsidR="00C662AE" w:rsidRPr="0045472C" w:rsidRDefault="00C662AE" w:rsidP="00583120">
      <w:pPr>
        <w:spacing w:before="120" w:after="120"/>
        <w:rPr>
          <w:rFonts w:ascii="Arial" w:hAnsi="Arial" w:cs="Arial"/>
        </w:rPr>
      </w:pPr>
      <w:r w:rsidRPr="0045472C">
        <w:rPr>
          <w:rFonts w:ascii="Arial" w:hAnsi="Arial" w:cs="Arial"/>
        </w:rPr>
        <w:t>*Values in this example are derived from the example in Schedule A, Table B.</w:t>
      </w:r>
    </w:p>
    <w:p w14:paraId="6D3FCE03" w14:textId="77777777" w:rsidR="00C662AE" w:rsidRPr="0097271B" w:rsidRDefault="00C662AE" w:rsidP="00583120">
      <w:pPr>
        <w:spacing w:after="160"/>
        <w:rPr>
          <w:rFonts w:ascii="Arial" w:hAnsi="Arial" w:cs="Arial"/>
          <w:b/>
          <w:bCs/>
        </w:rPr>
      </w:pPr>
      <w:r w:rsidRPr="0097271B">
        <w:rPr>
          <w:rFonts w:ascii="Arial" w:hAnsi="Arial" w:cs="Arial"/>
          <w:b/>
          <w:bCs/>
        </w:rPr>
        <w:t>Siskiyou County</w:t>
      </w:r>
    </w:p>
    <w:p w14:paraId="43CF307E" w14:textId="03177743" w:rsidR="00C662AE" w:rsidRPr="0097271B" w:rsidRDefault="00C662AE" w:rsidP="00466CF4">
      <w:pPr>
        <w:spacing w:after="240"/>
        <w:rPr>
          <w:rFonts w:ascii="Arial" w:hAnsi="Arial" w:cs="Arial"/>
        </w:rPr>
      </w:pPr>
      <w:r w:rsidRPr="0097271B">
        <w:rPr>
          <w:rFonts w:ascii="Arial" w:hAnsi="Arial" w:cs="Arial"/>
        </w:rPr>
        <w:t xml:space="preserve">Multiplying the telehealth coefficient by the total FTE value for Siskiyou County produces a telehealth ratio modifier of 0.016. Adding this value to the capacity ratio denominator (0.32 + 0.016) leads to a capacity ratio of 1 FTE </w:t>
      </w:r>
      <w:r w:rsidR="007D1B8A" w:rsidRPr="0097271B">
        <w:rPr>
          <w:rFonts w:ascii="Arial" w:hAnsi="Arial" w:cs="Arial"/>
        </w:rPr>
        <w:t>C</w:t>
      </w:r>
      <w:r w:rsidRPr="0097271B">
        <w:rPr>
          <w:rFonts w:ascii="Arial" w:hAnsi="Arial" w:cs="Arial"/>
        </w:rPr>
        <w:t>ounseling MHP per 1,190 enrollees for the county.</w:t>
      </w:r>
    </w:p>
    <w:p w14:paraId="7E841EB9" w14:textId="77777777" w:rsidR="00C662AE" w:rsidRPr="0097271B" w:rsidRDefault="00C662AE" w:rsidP="00583120">
      <w:pPr>
        <w:spacing w:after="160"/>
        <w:rPr>
          <w:rFonts w:ascii="Arial" w:hAnsi="Arial" w:cs="Arial"/>
          <w:b/>
          <w:bCs/>
        </w:rPr>
      </w:pPr>
      <w:r w:rsidRPr="0097271B">
        <w:rPr>
          <w:rFonts w:ascii="Arial" w:hAnsi="Arial" w:cs="Arial"/>
          <w:b/>
          <w:bCs/>
        </w:rPr>
        <w:t>Shasta County</w:t>
      </w:r>
    </w:p>
    <w:p w14:paraId="2D9B8DF4" w14:textId="5ADE45F2" w:rsidR="00C662AE" w:rsidRPr="0097271B" w:rsidRDefault="00C662AE" w:rsidP="00466CF4">
      <w:pPr>
        <w:spacing w:after="240"/>
        <w:rPr>
          <w:rFonts w:ascii="Arial" w:hAnsi="Arial" w:cs="Arial"/>
        </w:rPr>
      </w:pPr>
      <w:r w:rsidRPr="0097271B">
        <w:rPr>
          <w:rFonts w:ascii="Arial" w:hAnsi="Arial" w:cs="Arial"/>
        </w:rPr>
        <w:t xml:space="preserve">With the telehealth coefficient of 0.05 for the network, Shasta County receives a telehealth ratio modifier of 0.085, which when added to the capacity ratio calculation leads to a capacity ratio of 1 FTE </w:t>
      </w:r>
      <w:r w:rsidR="007D1B8A" w:rsidRPr="0097271B">
        <w:rPr>
          <w:rFonts w:ascii="Arial" w:hAnsi="Arial" w:cs="Arial"/>
        </w:rPr>
        <w:t>C</w:t>
      </w:r>
      <w:r w:rsidRPr="0097271B">
        <w:rPr>
          <w:rFonts w:ascii="Arial" w:hAnsi="Arial" w:cs="Arial"/>
        </w:rPr>
        <w:t>ounseling MHP per 1,691 enrollees for the county.</w:t>
      </w:r>
    </w:p>
    <w:p w14:paraId="4BCA6FFE" w14:textId="37338D8E" w:rsidR="0047194B" w:rsidRPr="0097271B" w:rsidRDefault="0047194B" w:rsidP="00583120">
      <w:pPr>
        <w:spacing w:after="160"/>
        <w:rPr>
          <w:rFonts w:ascii="Arial" w:hAnsi="Arial" w:cs="Arial"/>
          <w:b/>
          <w:bCs/>
          <w:u w:val="single"/>
        </w:rPr>
      </w:pPr>
      <w:r w:rsidRPr="0097271B">
        <w:rPr>
          <w:rFonts w:ascii="Arial" w:hAnsi="Arial" w:cs="Arial"/>
          <w:b/>
          <w:bCs/>
          <w:u w:val="single"/>
        </w:rPr>
        <w:t>Outcome from Example 2</w:t>
      </w:r>
    </w:p>
    <w:p w14:paraId="17D6BB9A" w14:textId="4B36BB8B" w:rsidR="000E709D" w:rsidRPr="000E709D" w:rsidRDefault="0047194B" w:rsidP="00466CF4">
      <w:pPr>
        <w:spacing w:after="240"/>
        <w:rPr>
          <w:rFonts w:ascii="Arial" w:hAnsi="Arial" w:cs="Arial"/>
          <w:b/>
        </w:rPr>
      </w:pPr>
      <w:r w:rsidRPr="0097271B">
        <w:rPr>
          <w:rFonts w:ascii="Arial" w:hAnsi="Arial" w:cs="Arial"/>
          <w:u w:val="single"/>
        </w:rPr>
        <w:t xml:space="preserve">The Telehealth Modifier has reduced the ratios in both </w:t>
      </w:r>
      <w:r w:rsidR="00E12876" w:rsidRPr="0097271B">
        <w:rPr>
          <w:rFonts w:ascii="Arial" w:hAnsi="Arial" w:cs="Arial"/>
          <w:u w:val="single"/>
        </w:rPr>
        <w:t>Siskiy</w:t>
      </w:r>
      <w:r w:rsidRPr="0097271B">
        <w:rPr>
          <w:rFonts w:ascii="Arial" w:hAnsi="Arial" w:cs="Arial"/>
          <w:u w:val="single"/>
        </w:rPr>
        <w:t>o</w:t>
      </w:r>
      <w:r w:rsidR="00FE2E94" w:rsidRPr="0097271B">
        <w:rPr>
          <w:rFonts w:ascii="Arial" w:hAnsi="Arial" w:cs="Arial"/>
          <w:u w:val="single"/>
        </w:rPr>
        <w:t>u</w:t>
      </w:r>
      <w:r w:rsidRPr="0097271B">
        <w:rPr>
          <w:rFonts w:ascii="Arial" w:hAnsi="Arial" w:cs="Arial"/>
          <w:u w:val="single"/>
        </w:rPr>
        <w:t xml:space="preserve"> and </w:t>
      </w:r>
      <w:r w:rsidR="00FE2E94" w:rsidRPr="0097271B">
        <w:rPr>
          <w:rFonts w:ascii="Arial" w:hAnsi="Arial" w:cs="Arial"/>
          <w:u w:val="single"/>
        </w:rPr>
        <w:t>Shasta</w:t>
      </w:r>
      <w:r w:rsidRPr="0097271B">
        <w:rPr>
          <w:rFonts w:ascii="Arial" w:hAnsi="Arial" w:cs="Arial"/>
          <w:u w:val="single"/>
        </w:rPr>
        <w:t xml:space="preserve"> Counties. However, this fictional network still does not meet compliance under the applicable FTE ratio standard (1:1</w:t>
      </w:r>
      <w:r w:rsidR="00FE2E94" w:rsidRPr="0097271B">
        <w:rPr>
          <w:rFonts w:ascii="Arial" w:hAnsi="Arial" w:cs="Arial"/>
          <w:u w:val="single"/>
        </w:rPr>
        <w:t>000</w:t>
      </w:r>
      <w:r w:rsidRPr="0097271B">
        <w:rPr>
          <w:rFonts w:ascii="Arial" w:hAnsi="Arial" w:cs="Arial"/>
          <w:u w:val="single"/>
        </w:rPr>
        <w:t>) for either</w:t>
      </w:r>
      <w:r w:rsidR="00FE2E94" w:rsidRPr="0097271B">
        <w:rPr>
          <w:rFonts w:ascii="Arial" w:hAnsi="Arial" w:cs="Arial"/>
          <w:u w:val="single"/>
        </w:rPr>
        <w:t xml:space="preserve"> county</w:t>
      </w:r>
      <w:r w:rsidRPr="0097271B">
        <w:rPr>
          <w:rFonts w:ascii="Arial" w:hAnsi="Arial" w:cs="Arial"/>
          <w:u w:val="single"/>
        </w:rPr>
        <w:t>.</w:t>
      </w:r>
      <w:r w:rsidR="00FE2E94" w:rsidRPr="0097271B">
        <w:rPr>
          <w:rFonts w:ascii="Arial" w:hAnsi="Arial" w:cs="Arial"/>
          <w:u w:val="single"/>
        </w:rPr>
        <w:t xml:space="preserve"> </w:t>
      </w:r>
      <w:r w:rsidRPr="0097271B">
        <w:rPr>
          <w:rFonts w:ascii="Arial" w:hAnsi="Arial" w:cs="Arial"/>
          <w:u w:val="single"/>
        </w:rPr>
        <w:t xml:space="preserve">See Table </w:t>
      </w:r>
      <w:r w:rsidR="00FE2E94" w:rsidRPr="0097271B">
        <w:rPr>
          <w:rFonts w:ascii="Arial" w:hAnsi="Arial" w:cs="Arial"/>
          <w:u w:val="single"/>
        </w:rPr>
        <w:t>C</w:t>
      </w:r>
      <w:r w:rsidRPr="0097271B">
        <w:rPr>
          <w:rFonts w:ascii="Arial" w:hAnsi="Arial" w:cs="Arial"/>
          <w:u w:val="single"/>
        </w:rPr>
        <w:t xml:space="preserve"> above illustrating the Telehealth Ratio Modifier calculations.</w:t>
      </w:r>
    </w:p>
    <w:p w14:paraId="5A3CFC23" w14:textId="77777777" w:rsidR="00580058" w:rsidRDefault="00580058" w:rsidP="00583120">
      <w:pPr>
        <w:spacing w:after="160"/>
        <w:rPr>
          <w:rFonts w:ascii="Arial" w:eastAsiaTheme="majorEastAsia" w:hAnsi="Arial" w:cs="Arial"/>
          <w:b/>
          <w:bCs/>
          <w:sz w:val="28"/>
          <w:szCs w:val="28"/>
        </w:rPr>
      </w:pPr>
      <w:r>
        <w:rPr>
          <w:b/>
          <w:bCs/>
        </w:rPr>
        <w:br w:type="page"/>
      </w:r>
    </w:p>
    <w:p w14:paraId="27FB9A89" w14:textId="6FEC6073" w:rsidR="00C662AE" w:rsidRPr="008320F3" w:rsidRDefault="00C662AE" w:rsidP="00583120">
      <w:pPr>
        <w:pStyle w:val="Heading1"/>
      </w:pPr>
      <w:r w:rsidRPr="008320F3">
        <w:lastRenderedPageBreak/>
        <w:t>Schedule A-2</w:t>
      </w:r>
    </w:p>
    <w:p w14:paraId="037ACCC7" w14:textId="645C92F9" w:rsidR="002741E6" w:rsidRDefault="00C662AE" w:rsidP="00583120">
      <w:pPr>
        <w:jc w:val="center"/>
        <w:rPr>
          <w:rFonts w:ascii="Arial" w:hAnsi="Arial" w:cs="Arial"/>
          <w:b/>
          <w:bCs/>
          <w:sz w:val="28"/>
          <w:szCs w:val="28"/>
        </w:rPr>
      </w:pPr>
      <w:r w:rsidRPr="003A6829">
        <w:rPr>
          <w:rFonts w:ascii="Arial" w:hAnsi="Arial" w:cs="Arial"/>
          <w:b/>
          <w:bCs/>
          <w:sz w:val="28"/>
          <w:szCs w:val="28"/>
        </w:rPr>
        <w:t>Alternative Methodology</w:t>
      </w:r>
      <w:r w:rsidR="001D3E9B" w:rsidRPr="003A6829">
        <w:rPr>
          <w:rFonts w:ascii="Arial" w:hAnsi="Arial" w:cs="Arial"/>
          <w:b/>
          <w:bCs/>
          <w:sz w:val="28"/>
          <w:szCs w:val="28"/>
        </w:rPr>
        <w:br/>
      </w:r>
      <w:r w:rsidRPr="003A6829">
        <w:rPr>
          <w:rFonts w:ascii="Arial" w:hAnsi="Arial" w:cs="Arial"/>
          <w:b/>
          <w:bCs/>
          <w:sz w:val="28"/>
          <w:szCs w:val="28"/>
        </w:rPr>
        <w:t>FTE Modifier for Exclusive Providers (EP)</w:t>
      </w:r>
    </w:p>
    <w:p w14:paraId="0A0C6EC1" w14:textId="21B3A2D7" w:rsidR="00C662AE" w:rsidRPr="002956ED" w:rsidRDefault="00C662AE" w:rsidP="00466CF4">
      <w:pPr>
        <w:spacing w:before="240" w:after="240"/>
        <w:rPr>
          <w:rFonts w:ascii="Arial" w:hAnsi="Arial" w:cs="Arial"/>
        </w:rPr>
      </w:pPr>
      <w:r w:rsidRPr="0045472C">
        <w:rPr>
          <w:rFonts w:ascii="Arial" w:hAnsi="Arial" w:cs="Arial"/>
        </w:rPr>
        <w:t xml:space="preserve">For </w:t>
      </w:r>
      <w:r w:rsidRPr="00986A3C">
        <w:rPr>
          <w:rFonts w:ascii="Arial" w:hAnsi="Arial" w:cs="Arial"/>
          <w:strike/>
        </w:rPr>
        <w:t>network provide</w:t>
      </w:r>
      <w:r w:rsidRPr="002956ED">
        <w:rPr>
          <w:rFonts w:ascii="Arial" w:hAnsi="Arial" w:cs="Arial"/>
          <w:strike/>
        </w:rPr>
        <w:t>rs</w:t>
      </w:r>
      <w:r w:rsidRPr="002956ED">
        <w:rPr>
          <w:rFonts w:ascii="Arial" w:hAnsi="Arial" w:cs="Arial"/>
        </w:rPr>
        <w:t xml:space="preserve"> </w:t>
      </w:r>
      <w:r w:rsidR="00986A3C" w:rsidRPr="002956ED">
        <w:rPr>
          <w:rFonts w:ascii="Arial" w:hAnsi="Arial" w:cs="Arial"/>
          <w:u w:val="single"/>
        </w:rPr>
        <w:t xml:space="preserve">networks </w:t>
      </w:r>
      <w:r w:rsidRPr="002956ED">
        <w:rPr>
          <w:rFonts w:ascii="Arial" w:hAnsi="Arial" w:cs="Arial"/>
        </w:rPr>
        <w:t xml:space="preserve">that </w:t>
      </w:r>
      <w:r w:rsidRPr="002956ED">
        <w:rPr>
          <w:rFonts w:ascii="Arial" w:hAnsi="Arial" w:cs="Arial"/>
          <w:strike/>
        </w:rPr>
        <w:t xml:space="preserve">are </w:t>
      </w:r>
      <w:r w:rsidR="00674BF8" w:rsidRPr="002956ED">
        <w:rPr>
          <w:rFonts w:ascii="Arial" w:hAnsi="Arial" w:cs="Arial"/>
          <w:u w:val="single"/>
        </w:rPr>
        <w:t xml:space="preserve">include </w:t>
      </w:r>
      <w:r w:rsidRPr="002956ED">
        <w:rPr>
          <w:rFonts w:ascii="Arial" w:hAnsi="Arial" w:cs="Arial"/>
        </w:rPr>
        <w:t>exclusive providers (EP), as defined, within a network service area county, the D</w:t>
      </w:r>
      <w:r w:rsidR="00E673B7" w:rsidRPr="002956ED">
        <w:rPr>
          <w:rFonts w:ascii="Arial" w:hAnsi="Arial" w:cs="Arial"/>
        </w:rPr>
        <w:t>MHC</w:t>
      </w:r>
      <w:r w:rsidRPr="002956ED">
        <w:rPr>
          <w:rFonts w:ascii="Arial" w:hAnsi="Arial" w:cs="Arial"/>
        </w:rPr>
        <w:t xml:space="preserve"> may replace the FTE Starting Values listed in Schedule A, Table A, with </w:t>
      </w:r>
      <w:r w:rsidRPr="002956ED">
        <w:rPr>
          <w:rFonts w:ascii="Arial" w:hAnsi="Arial" w:cs="Arial"/>
          <w:strike/>
        </w:rPr>
        <w:t xml:space="preserve">an FTE modifier </w:t>
      </w:r>
      <w:r w:rsidR="00004D3D" w:rsidRPr="002956ED">
        <w:rPr>
          <w:rFonts w:ascii="Arial" w:hAnsi="Arial" w:cs="Arial"/>
          <w:u w:val="single"/>
        </w:rPr>
        <w:t xml:space="preserve">a modified FTE </w:t>
      </w:r>
      <w:r w:rsidRPr="002956ED">
        <w:rPr>
          <w:rFonts w:ascii="Arial" w:hAnsi="Arial" w:cs="Arial"/>
        </w:rPr>
        <w:t>value for EPs, when applicable</w:t>
      </w:r>
      <w:r w:rsidR="000A472C" w:rsidRPr="002956ED">
        <w:rPr>
          <w:rFonts w:ascii="Arial" w:hAnsi="Arial" w:cs="Arial"/>
        </w:rPr>
        <w:t xml:space="preserve"> </w:t>
      </w:r>
      <w:r w:rsidR="000A472C" w:rsidRPr="002956ED">
        <w:rPr>
          <w:rFonts w:ascii="Arial" w:hAnsi="Arial" w:cs="Arial"/>
          <w:u w:val="single"/>
        </w:rPr>
        <w:t>as set forth in the standard</w:t>
      </w:r>
      <w:r w:rsidRPr="002956ED">
        <w:rPr>
          <w:rFonts w:ascii="Arial" w:hAnsi="Arial" w:cs="Arial"/>
        </w:rPr>
        <w:t xml:space="preserve">. The </w:t>
      </w:r>
      <w:r w:rsidRPr="002956ED">
        <w:rPr>
          <w:rFonts w:ascii="Arial" w:hAnsi="Arial" w:cs="Arial"/>
          <w:strike/>
        </w:rPr>
        <w:t xml:space="preserve">FTE modifier </w:t>
      </w:r>
      <w:r w:rsidR="008C47B7" w:rsidRPr="002956ED">
        <w:rPr>
          <w:rFonts w:ascii="Arial" w:hAnsi="Arial" w:cs="Arial"/>
          <w:u w:val="single"/>
        </w:rPr>
        <w:t xml:space="preserve">modified FTE </w:t>
      </w:r>
      <w:r w:rsidRPr="002956ED">
        <w:rPr>
          <w:rFonts w:ascii="Arial" w:hAnsi="Arial" w:cs="Arial"/>
        </w:rPr>
        <w:t>value for EPs shall be further adjusted with the FTE Starting Value Adjustments for full-time/part-time and single county/multiple county designations.</w:t>
      </w:r>
    </w:p>
    <w:p w14:paraId="1A018B67" w14:textId="77777777" w:rsidR="00C662AE" w:rsidRPr="002956ED" w:rsidRDefault="00C662AE" w:rsidP="00466CF4">
      <w:pPr>
        <w:spacing w:after="240"/>
        <w:rPr>
          <w:rFonts w:ascii="Arial" w:hAnsi="Arial" w:cs="Arial"/>
          <w:b/>
        </w:rPr>
      </w:pPr>
      <w:r w:rsidRPr="002956ED">
        <w:rPr>
          <w:rFonts w:ascii="Arial" w:hAnsi="Arial" w:cs="Arial"/>
          <w:b/>
          <w:bCs/>
        </w:rPr>
        <w:t>Table D</w:t>
      </w:r>
      <w:r w:rsidRPr="002956ED">
        <w:rPr>
          <w:rFonts w:ascii="Arial" w:hAnsi="Arial" w:cs="Arial"/>
        </w:rPr>
        <w:t xml:space="preserve"> depicts the calculations for the FTE values assigned to EPs based on the FTE modifier for EPs and the FTE Starting Value Adjustments set forth in the standard, and in Schedule A.</w:t>
      </w:r>
    </w:p>
    <w:p w14:paraId="484DA51E" w14:textId="77777777" w:rsidR="00C662AE" w:rsidRPr="0045472C" w:rsidRDefault="00C662AE" w:rsidP="00583120">
      <w:pPr>
        <w:spacing w:after="240"/>
        <w:jc w:val="center"/>
        <w:rPr>
          <w:rFonts w:ascii="Arial" w:hAnsi="Arial" w:cs="Arial"/>
          <w:b/>
        </w:rPr>
      </w:pPr>
      <w:r w:rsidRPr="002956ED">
        <w:rPr>
          <w:rFonts w:ascii="Arial" w:hAnsi="Arial" w:cs="Arial"/>
          <w:b/>
        </w:rPr>
        <w:t xml:space="preserve">Table </w:t>
      </w:r>
      <w:r w:rsidRPr="002956ED">
        <w:rPr>
          <w:rFonts w:ascii="Arial" w:hAnsi="Arial" w:cs="Arial"/>
          <w:b/>
          <w:bCs/>
        </w:rPr>
        <w:t>D</w:t>
      </w:r>
      <w:r w:rsidRPr="002956ED">
        <w:rPr>
          <w:rFonts w:ascii="Arial" w:hAnsi="Arial" w:cs="Arial"/>
          <w:b/>
        </w:rPr>
        <w:t xml:space="preserve">: FTE Values for EPs by </w:t>
      </w:r>
      <w:r w:rsidRPr="002956ED">
        <w:rPr>
          <w:rFonts w:ascii="Arial" w:hAnsi="Arial" w:cs="Arial"/>
          <w:b/>
          <w:bCs/>
        </w:rPr>
        <w:t>Full-time/Part-time</w:t>
      </w:r>
      <w:r w:rsidRPr="002956ED">
        <w:rPr>
          <w:rFonts w:ascii="Arial" w:hAnsi="Arial" w:cs="Arial"/>
          <w:b/>
        </w:rPr>
        <w:t>, and Single-</w:t>
      </w:r>
      <w:r w:rsidRPr="002956ED">
        <w:rPr>
          <w:rFonts w:ascii="Arial" w:hAnsi="Arial" w:cs="Arial"/>
          <w:b/>
          <w:bCs/>
        </w:rPr>
        <w:t xml:space="preserve">County/Multiple </w:t>
      </w:r>
      <w:r w:rsidRPr="0045472C">
        <w:rPr>
          <w:rFonts w:ascii="Arial" w:hAnsi="Arial" w:cs="Arial"/>
          <w:b/>
          <w:bCs/>
        </w:rPr>
        <w:t>County</w:t>
      </w:r>
      <w:r w:rsidRPr="0045472C">
        <w:rPr>
          <w:rFonts w:ascii="Arial" w:hAnsi="Arial" w:cs="Arial"/>
          <w:b/>
        </w:rPr>
        <w:t xml:space="preserve"> Designations</w:t>
      </w:r>
    </w:p>
    <w:tbl>
      <w:tblPr>
        <w:tblW w:w="7920" w:type="dxa"/>
        <w:jc w:val="center"/>
        <w:tblLook w:val="04A0" w:firstRow="1" w:lastRow="0" w:firstColumn="1" w:lastColumn="0" w:noHBand="0" w:noVBand="1"/>
        <w:tblCaption w:val="Table D"/>
        <w:tblDescription w:val="Table D: FTE Values for EPs by Full-time/Part-time, and Single-County/Multiple County Designations"/>
      </w:tblPr>
      <w:tblGrid>
        <w:gridCol w:w="3960"/>
        <w:gridCol w:w="3960"/>
      </w:tblGrid>
      <w:tr w:rsidR="00C662AE" w:rsidRPr="0045472C" w14:paraId="1FBCC5CB" w14:textId="77777777" w:rsidTr="00720E3A">
        <w:trPr>
          <w:trHeight w:val="432"/>
          <w:tblHeader/>
          <w:jc w:val="center"/>
        </w:trPr>
        <w:tc>
          <w:tcPr>
            <w:tcW w:w="3960" w:type="dxa"/>
            <w:tcBorders>
              <w:top w:val="single" w:sz="4" w:space="0" w:color="auto"/>
              <w:left w:val="single" w:sz="4" w:space="0" w:color="auto"/>
              <w:bottom w:val="single" w:sz="4" w:space="0" w:color="auto"/>
              <w:right w:val="single" w:sz="4" w:space="0" w:color="auto"/>
            </w:tcBorders>
            <w:shd w:val="clear" w:color="auto" w:fill="035530"/>
            <w:noWrap/>
            <w:vAlign w:val="center"/>
            <w:hideMark/>
          </w:tcPr>
          <w:p w14:paraId="65C43A4D" w14:textId="302DCFFC" w:rsidR="00C662AE" w:rsidRPr="002956ED" w:rsidRDefault="001E1CAA" w:rsidP="00583120">
            <w:pPr>
              <w:jc w:val="center"/>
              <w:rPr>
                <w:rFonts w:ascii="Arial" w:hAnsi="Arial" w:cs="Arial"/>
                <w:b/>
                <w:color w:val="FFFFFF" w:themeColor="background1"/>
              </w:rPr>
            </w:pPr>
            <w:r w:rsidRPr="002956ED">
              <w:rPr>
                <w:rFonts w:ascii="Arial" w:hAnsi="Arial" w:cs="Arial"/>
                <w:b/>
                <w:color w:val="FFFFFF" w:themeColor="background1"/>
                <w:u w:val="single"/>
              </w:rPr>
              <w:t>Network</w:t>
            </w:r>
            <w:r w:rsidRPr="002956ED">
              <w:rPr>
                <w:rFonts w:ascii="Arial" w:hAnsi="Arial" w:cs="Arial"/>
                <w:b/>
                <w:color w:val="FFFFFF" w:themeColor="background1"/>
              </w:rPr>
              <w:t xml:space="preserve"> </w:t>
            </w:r>
            <w:r w:rsidR="00C662AE" w:rsidRPr="002956ED">
              <w:rPr>
                <w:rFonts w:ascii="Arial" w:hAnsi="Arial" w:cs="Arial"/>
                <w:b/>
                <w:color w:val="FFFFFF" w:themeColor="background1"/>
              </w:rPr>
              <w:t>Provider Classification</w:t>
            </w:r>
          </w:p>
        </w:tc>
        <w:tc>
          <w:tcPr>
            <w:tcW w:w="3960" w:type="dxa"/>
            <w:tcBorders>
              <w:top w:val="single" w:sz="4" w:space="0" w:color="auto"/>
              <w:left w:val="nil"/>
              <w:bottom w:val="single" w:sz="4" w:space="0" w:color="auto"/>
              <w:right w:val="single" w:sz="4" w:space="0" w:color="auto"/>
            </w:tcBorders>
            <w:shd w:val="clear" w:color="auto" w:fill="035530"/>
            <w:noWrap/>
            <w:vAlign w:val="center"/>
            <w:hideMark/>
          </w:tcPr>
          <w:p w14:paraId="33FD83F9" w14:textId="77777777" w:rsidR="00C662AE" w:rsidRPr="002956ED" w:rsidRDefault="00C662AE" w:rsidP="00583120">
            <w:pPr>
              <w:jc w:val="center"/>
              <w:rPr>
                <w:rFonts w:ascii="Arial" w:hAnsi="Arial" w:cs="Arial"/>
                <w:b/>
                <w:color w:val="FFFFFF" w:themeColor="background1"/>
              </w:rPr>
            </w:pPr>
            <w:r w:rsidRPr="002956ED">
              <w:rPr>
                <w:rFonts w:ascii="Arial" w:hAnsi="Arial" w:cs="Arial"/>
                <w:b/>
                <w:color w:val="FFFFFF" w:themeColor="background1"/>
              </w:rPr>
              <w:t>FTE Calculation for EPs</w:t>
            </w:r>
          </w:p>
        </w:tc>
      </w:tr>
      <w:tr w:rsidR="002956ED" w:rsidRPr="000F5CAA" w14:paraId="13672E41" w14:textId="77777777">
        <w:trPr>
          <w:trHeight w:val="432"/>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14:paraId="27FCCA86" w14:textId="53061519" w:rsidR="00C662AE" w:rsidRPr="000F5CAA" w:rsidRDefault="00C662AE" w:rsidP="00583120">
            <w:pPr>
              <w:jc w:val="center"/>
              <w:rPr>
                <w:rFonts w:ascii="Arial" w:hAnsi="Arial" w:cs="Arial"/>
              </w:rPr>
            </w:pPr>
            <w:r w:rsidRPr="000F5CAA">
              <w:rPr>
                <w:rFonts w:ascii="Arial" w:hAnsi="Arial" w:cs="Arial"/>
              </w:rPr>
              <w:t>Full</w:t>
            </w:r>
            <w:r w:rsidR="00F044F1" w:rsidRPr="00F044F1">
              <w:rPr>
                <w:rFonts w:ascii="Arial" w:hAnsi="Arial" w:cs="Arial"/>
                <w:u w:val="single"/>
              </w:rPr>
              <w:t>-</w:t>
            </w:r>
            <w:r w:rsidRPr="000F5CAA">
              <w:rPr>
                <w:rFonts w:ascii="Arial" w:hAnsi="Arial" w:cs="Arial"/>
              </w:rPr>
              <w:t>Time, Single-county</w:t>
            </w:r>
          </w:p>
        </w:tc>
        <w:tc>
          <w:tcPr>
            <w:tcW w:w="3960" w:type="dxa"/>
            <w:tcBorders>
              <w:top w:val="single" w:sz="4" w:space="0" w:color="auto"/>
              <w:left w:val="nil"/>
              <w:bottom w:val="single" w:sz="4" w:space="0" w:color="auto"/>
              <w:right w:val="single" w:sz="4" w:space="0" w:color="auto"/>
            </w:tcBorders>
            <w:vAlign w:val="center"/>
            <w:hideMark/>
          </w:tcPr>
          <w:p w14:paraId="27F23EFD" w14:textId="7118377E" w:rsidR="00C662AE" w:rsidRPr="000F5CAA" w:rsidRDefault="00C662AE" w:rsidP="00583120">
            <w:pPr>
              <w:jc w:val="center"/>
              <w:rPr>
                <w:rFonts w:ascii="Arial" w:hAnsi="Arial" w:cs="Arial"/>
              </w:rPr>
            </w:pPr>
            <w:r w:rsidRPr="000F5CAA">
              <w:rPr>
                <w:rFonts w:ascii="Arial" w:hAnsi="Arial" w:cs="Arial"/>
              </w:rPr>
              <w:t>1</w:t>
            </w:r>
            <w:r w:rsidR="00B44F4A" w:rsidRPr="000F5CAA">
              <w:rPr>
                <w:rFonts w:ascii="Arial" w:hAnsi="Arial" w:cs="Arial"/>
              </w:rPr>
              <w:t xml:space="preserve"> </w:t>
            </w:r>
            <w:r w:rsidR="00D457DF" w:rsidRPr="000F5CAA">
              <w:rPr>
                <w:rFonts w:ascii="Arial" w:hAnsi="Arial" w:cs="Arial"/>
              </w:rPr>
              <w:t xml:space="preserve">÷ </w:t>
            </w:r>
            <w:r w:rsidRPr="000F5CAA">
              <w:rPr>
                <w:rFonts w:ascii="Arial" w:hAnsi="Arial" w:cs="Arial"/>
              </w:rPr>
              <w:t>(</w:t>
            </w:r>
            <w:r w:rsidRPr="000F5CAA">
              <w:rPr>
                <w:rFonts w:ascii="Arial" w:hAnsi="Arial" w:cs="Arial"/>
                <w:i/>
              </w:rPr>
              <w:t xml:space="preserve">county </w:t>
            </w:r>
            <w:r w:rsidR="00743295" w:rsidRPr="000F5CAA">
              <w:rPr>
                <w:rFonts w:ascii="Arial" w:hAnsi="Arial" w:cs="Arial"/>
                <w:i/>
                <w:strike/>
              </w:rPr>
              <w:t>nets</w:t>
            </w:r>
            <w:r w:rsidR="00743295" w:rsidRPr="000F5CAA">
              <w:rPr>
                <w:rFonts w:ascii="Arial" w:hAnsi="Arial" w:cs="Arial"/>
                <w:strike/>
              </w:rPr>
              <w:t xml:space="preserve"> </w:t>
            </w:r>
            <w:r w:rsidR="00743295" w:rsidRPr="000F5CAA">
              <w:rPr>
                <w:rFonts w:ascii="Arial" w:hAnsi="Arial" w:cs="Arial"/>
                <w:u w:val="single"/>
              </w:rPr>
              <w:t>network</w:t>
            </w:r>
            <w:r w:rsidR="00811589" w:rsidRPr="000F5CAA">
              <w:rPr>
                <w:rFonts w:ascii="Arial" w:hAnsi="Arial" w:cs="Arial"/>
                <w:u w:val="single"/>
              </w:rPr>
              <w:t>s</w:t>
            </w:r>
            <w:r w:rsidRPr="000F5CAA">
              <w:rPr>
                <w:rFonts w:ascii="Arial" w:hAnsi="Arial" w:cs="Arial"/>
              </w:rPr>
              <w:t>)</w:t>
            </w:r>
          </w:p>
        </w:tc>
      </w:tr>
      <w:tr w:rsidR="002956ED" w:rsidRPr="000F5CAA" w14:paraId="77A8B215" w14:textId="77777777">
        <w:trPr>
          <w:trHeight w:val="432"/>
          <w:jc w:val="center"/>
        </w:trPr>
        <w:tc>
          <w:tcPr>
            <w:tcW w:w="3960" w:type="dxa"/>
            <w:tcBorders>
              <w:top w:val="nil"/>
              <w:left w:val="single" w:sz="4" w:space="0" w:color="auto"/>
              <w:bottom w:val="single" w:sz="4" w:space="0" w:color="auto"/>
              <w:right w:val="single" w:sz="4" w:space="0" w:color="auto"/>
            </w:tcBorders>
            <w:vAlign w:val="center"/>
            <w:hideMark/>
          </w:tcPr>
          <w:p w14:paraId="78662BE2" w14:textId="77777777" w:rsidR="00C662AE" w:rsidRPr="000F5CAA" w:rsidRDefault="00C662AE" w:rsidP="00583120">
            <w:pPr>
              <w:jc w:val="center"/>
              <w:rPr>
                <w:rFonts w:ascii="Arial" w:hAnsi="Arial" w:cs="Arial"/>
              </w:rPr>
            </w:pPr>
            <w:r w:rsidRPr="000F5CAA">
              <w:rPr>
                <w:rFonts w:ascii="Arial" w:hAnsi="Arial" w:cs="Arial"/>
              </w:rPr>
              <w:t>Part-time, Single-county</w:t>
            </w:r>
          </w:p>
        </w:tc>
        <w:tc>
          <w:tcPr>
            <w:tcW w:w="3960" w:type="dxa"/>
            <w:tcBorders>
              <w:top w:val="nil"/>
              <w:left w:val="nil"/>
              <w:bottom w:val="single" w:sz="4" w:space="0" w:color="auto"/>
              <w:right w:val="single" w:sz="4" w:space="0" w:color="auto"/>
            </w:tcBorders>
            <w:vAlign w:val="center"/>
            <w:hideMark/>
          </w:tcPr>
          <w:p w14:paraId="02AE66C1" w14:textId="2EA76F9E" w:rsidR="00C662AE" w:rsidRPr="000F5CAA" w:rsidRDefault="00C662AE" w:rsidP="00583120">
            <w:pPr>
              <w:jc w:val="center"/>
              <w:rPr>
                <w:rFonts w:ascii="Arial" w:hAnsi="Arial" w:cs="Arial"/>
              </w:rPr>
            </w:pPr>
            <w:r w:rsidRPr="000F5CAA">
              <w:rPr>
                <w:rFonts w:ascii="Arial" w:hAnsi="Arial" w:cs="Arial"/>
              </w:rPr>
              <w:t>(1</w:t>
            </w:r>
            <w:r w:rsidR="00B44F4A" w:rsidRPr="000F5CAA">
              <w:rPr>
                <w:rFonts w:ascii="Arial" w:hAnsi="Arial" w:cs="Arial"/>
              </w:rPr>
              <w:t xml:space="preserve"> ÷ </w:t>
            </w:r>
            <w:r w:rsidRPr="000F5CAA">
              <w:rPr>
                <w:rFonts w:ascii="Arial" w:hAnsi="Arial" w:cs="Arial"/>
              </w:rPr>
              <w:t>(</w:t>
            </w:r>
            <w:r w:rsidRPr="000F5CAA">
              <w:rPr>
                <w:rFonts w:ascii="Arial" w:hAnsi="Arial" w:cs="Arial"/>
                <w:i/>
              </w:rPr>
              <w:t xml:space="preserve">county </w:t>
            </w:r>
            <w:r w:rsidRPr="000F5CAA">
              <w:rPr>
                <w:rFonts w:ascii="Arial" w:hAnsi="Arial" w:cs="Arial"/>
                <w:i/>
                <w:strike/>
              </w:rPr>
              <w:t>nets</w:t>
            </w:r>
            <w:r w:rsidR="00743295" w:rsidRPr="000F5CAA">
              <w:rPr>
                <w:rFonts w:ascii="Arial" w:hAnsi="Arial" w:cs="Arial"/>
                <w:strike/>
              </w:rPr>
              <w:t xml:space="preserve"> </w:t>
            </w:r>
            <w:r w:rsidR="00743295" w:rsidRPr="000F5CAA">
              <w:rPr>
                <w:rFonts w:ascii="Arial" w:hAnsi="Arial" w:cs="Arial"/>
                <w:u w:val="single"/>
              </w:rPr>
              <w:t>networks</w:t>
            </w:r>
            <w:r w:rsidRPr="000F5CAA">
              <w:rPr>
                <w:rFonts w:ascii="Arial" w:hAnsi="Arial" w:cs="Arial"/>
              </w:rPr>
              <w:t>)) * 0.6</w:t>
            </w:r>
          </w:p>
        </w:tc>
      </w:tr>
      <w:tr w:rsidR="002956ED" w:rsidRPr="000F5CAA" w14:paraId="64E3BBE2" w14:textId="77777777">
        <w:trPr>
          <w:trHeight w:val="432"/>
          <w:jc w:val="center"/>
        </w:trPr>
        <w:tc>
          <w:tcPr>
            <w:tcW w:w="3960" w:type="dxa"/>
            <w:tcBorders>
              <w:top w:val="nil"/>
              <w:left w:val="single" w:sz="4" w:space="0" w:color="auto"/>
              <w:bottom w:val="single" w:sz="4" w:space="0" w:color="auto"/>
              <w:right w:val="single" w:sz="4" w:space="0" w:color="auto"/>
            </w:tcBorders>
            <w:vAlign w:val="center"/>
            <w:hideMark/>
          </w:tcPr>
          <w:p w14:paraId="1DC4C3C6" w14:textId="77777777" w:rsidR="00C662AE" w:rsidRPr="000F5CAA" w:rsidRDefault="00C662AE" w:rsidP="00583120">
            <w:pPr>
              <w:jc w:val="center"/>
              <w:rPr>
                <w:rFonts w:ascii="Arial" w:hAnsi="Arial" w:cs="Arial"/>
              </w:rPr>
            </w:pPr>
            <w:r w:rsidRPr="000F5CAA">
              <w:rPr>
                <w:rFonts w:ascii="Arial" w:hAnsi="Arial" w:cs="Arial"/>
              </w:rPr>
              <w:t>Full-time, Multiple-county</w:t>
            </w:r>
          </w:p>
        </w:tc>
        <w:tc>
          <w:tcPr>
            <w:tcW w:w="3960" w:type="dxa"/>
            <w:tcBorders>
              <w:top w:val="nil"/>
              <w:left w:val="nil"/>
              <w:bottom w:val="single" w:sz="4" w:space="0" w:color="auto"/>
              <w:right w:val="single" w:sz="4" w:space="0" w:color="auto"/>
            </w:tcBorders>
            <w:vAlign w:val="center"/>
            <w:hideMark/>
          </w:tcPr>
          <w:p w14:paraId="20973BF4" w14:textId="7F252C50" w:rsidR="00C662AE" w:rsidRPr="000F5CAA" w:rsidRDefault="00C662AE" w:rsidP="00583120">
            <w:pPr>
              <w:jc w:val="center"/>
              <w:rPr>
                <w:rFonts w:ascii="Arial" w:hAnsi="Arial" w:cs="Arial"/>
              </w:rPr>
            </w:pPr>
            <w:r w:rsidRPr="000F5CAA">
              <w:rPr>
                <w:rFonts w:ascii="Arial" w:hAnsi="Arial" w:cs="Arial"/>
              </w:rPr>
              <w:t>(1</w:t>
            </w:r>
            <w:r w:rsidR="00B44F4A" w:rsidRPr="000F5CAA">
              <w:rPr>
                <w:rFonts w:ascii="Arial" w:hAnsi="Arial" w:cs="Arial"/>
              </w:rPr>
              <w:t xml:space="preserve"> ÷ </w:t>
            </w:r>
            <w:r w:rsidRPr="000F5CAA">
              <w:rPr>
                <w:rFonts w:ascii="Arial" w:hAnsi="Arial" w:cs="Arial"/>
              </w:rPr>
              <w:t>(</w:t>
            </w:r>
            <w:r w:rsidRPr="000F5CAA">
              <w:rPr>
                <w:rFonts w:ascii="Arial" w:hAnsi="Arial" w:cs="Arial"/>
                <w:i/>
              </w:rPr>
              <w:t xml:space="preserve">county </w:t>
            </w:r>
            <w:r w:rsidR="00BE0515" w:rsidRPr="000F5CAA">
              <w:rPr>
                <w:rFonts w:ascii="Arial" w:hAnsi="Arial" w:cs="Arial"/>
                <w:i/>
                <w:strike/>
              </w:rPr>
              <w:t>nets</w:t>
            </w:r>
            <w:r w:rsidR="00BE0515" w:rsidRPr="000F5CAA">
              <w:rPr>
                <w:rFonts w:ascii="Arial" w:hAnsi="Arial" w:cs="Arial"/>
                <w:strike/>
              </w:rPr>
              <w:t xml:space="preserve"> </w:t>
            </w:r>
            <w:r w:rsidR="00BE0515" w:rsidRPr="000F5CAA">
              <w:rPr>
                <w:rFonts w:ascii="Arial" w:hAnsi="Arial" w:cs="Arial"/>
                <w:u w:val="single"/>
              </w:rPr>
              <w:t>networks</w:t>
            </w:r>
            <w:r w:rsidRPr="000F5CAA">
              <w:rPr>
                <w:rFonts w:ascii="Arial" w:hAnsi="Arial" w:cs="Arial"/>
              </w:rPr>
              <w:t>)) * 0.5</w:t>
            </w:r>
          </w:p>
        </w:tc>
      </w:tr>
      <w:tr w:rsidR="002956ED" w:rsidRPr="000F5CAA" w14:paraId="3E29D2E9" w14:textId="77777777">
        <w:trPr>
          <w:trHeight w:val="432"/>
          <w:jc w:val="center"/>
        </w:trPr>
        <w:tc>
          <w:tcPr>
            <w:tcW w:w="3960" w:type="dxa"/>
            <w:tcBorders>
              <w:top w:val="nil"/>
              <w:left w:val="single" w:sz="4" w:space="0" w:color="auto"/>
              <w:bottom w:val="single" w:sz="4" w:space="0" w:color="auto"/>
              <w:right w:val="single" w:sz="4" w:space="0" w:color="auto"/>
            </w:tcBorders>
            <w:vAlign w:val="center"/>
            <w:hideMark/>
          </w:tcPr>
          <w:p w14:paraId="0FABA871" w14:textId="77777777" w:rsidR="00C662AE" w:rsidRPr="000F5CAA" w:rsidRDefault="00C662AE" w:rsidP="00583120">
            <w:pPr>
              <w:jc w:val="center"/>
              <w:rPr>
                <w:rFonts w:ascii="Arial" w:hAnsi="Arial" w:cs="Arial"/>
              </w:rPr>
            </w:pPr>
            <w:r w:rsidRPr="000F5CAA">
              <w:rPr>
                <w:rFonts w:ascii="Arial" w:hAnsi="Arial" w:cs="Arial"/>
              </w:rPr>
              <w:t>Part-time, Multiple-county</w:t>
            </w:r>
          </w:p>
        </w:tc>
        <w:tc>
          <w:tcPr>
            <w:tcW w:w="3960" w:type="dxa"/>
            <w:tcBorders>
              <w:top w:val="nil"/>
              <w:left w:val="nil"/>
              <w:bottom w:val="single" w:sz="4" w:space="0" w:color="auto"/>
              <w:right w:val="single" w:sz="4" w:space="0" w:color="auto"/>
            </w:tcBorders>
            <w:vAlign w:val="center"/>
            <w:hideMark/>
          </w:tcPr>
          <w:p w14:paraId="4769BAA3" w14:textId="40ACAB50" w:rsidR="00C662AE" w:rsidRPr="000F5CAA" w:rsidRDefault="00C662AE" w:rsidP="00583120">
            <w:pPr>
              <w:jc w:val="center"/>
              <w:rPr>
                <w:rFonts w:ascii="Arial" w:hAnsi="Arial" w:cs="Arial"/>
              </w:rPr>
            </w:pPr>
            <w:r w:rsidRPr="000F5CAA">
              <w:rPr>
                <w:rFonts w:ascii="Arial" w:hAnsi="Arial" w:cs="Arial"/>
              </w:rPr>
              <w:t>(1</w:t>
            </w:r>
            <w:r w:rsidR="00B44F4A" w:rsidRPr="000F5CAA">
              <w:rPr>
                <w:rFonts w:ascii="Arial" w:hAnsi="Arial" w:cs="Arial"/>
              </w:rPr>
              <w:t xml:space="preserve"> ÷ </w:t>
            </w:r>
            <w:r w:rsidRPr="000F5CAA">
              <w:rPr>
                <w:rFonts w:ascii="Arial" w:hAnsi="Arial" w:cs="Arial"/>
              </w:rPr>
              <w:t>(</w:t>
            </w:r>
            <w:r w:rsidRPr="000F5CAA">
              <w:rPr>
                <w:rFonts w:ascii="Arial" w:hAnsi="Arial" w:cs="Arial"/>
                <w:i/>
              </w:rPr>
              <w:t xml:space="preserve">county </w:t>
            </w:r>
            <w:r w:rsidR="00BE0515" w:rsidRPr="000F5CAA">
              <w:rPr>
                <w:rFonts w:ascii="Arial" w:hAnsi="Arial" w:cs="Arial"/>
                <w:i/>
                <w:strike/>
              </w:rPr>
              <w:t>nets</w:t>
            </w:r>
            <w:r w:rsidR="00BE0515" w:rsidRPr="000F5CAA">
              <w:rPr>
                <w:rFonts w:ascii="Arial" w:hAnsi="Arial" w:cs="Arial"/>
                <w:strike/>
              </w:rPr>
              <w:t xml:space="preserve"> </w:t>
            </w:r>
            <w:r w:rsidR="00BE0515" w:rsidRPr="000F5CAA">
              <w:rPr>
                <w:rFonts w:ascii="Arial" w:hAnsi="Arial" w:cs="Arial"/>
                <w:u w:val="single"/>
              </w:rPr>
              <w:t>networks</w:t>
            </w:r>
            <w:r w:rsidRPr="000F5CAA">
              <w:rPr>
                <w:rFonts w:ascii="Arial" w:hAnsi="Arial" w:cs="Arial"/>
              </w:rPr>
              <w:t>)) * 0.3</w:t>
            </w:r>
          </w:p>
        </w:tc>
      </w:tr>
    </w:tbl>
    <w:p w14:paraId="658D0A5C" w14:textId="350509B2" w:rsidR="00C662AE" w:rsidRPr="000F5CAA" w:rsidRDefault="007F411A" w:rsidP="00466CF4">
      <w:pPr>
        <w:spacing w:before="240" w:after="240"/>
        <w:rPr>
          <w:rFonts w:ascii="Arial" w:hAnsi="Arial" w:cs="Arial"/>
        </w:rPr>
      </w:pPr>
      <w:r w:rsidRPr="000F5CAA">
        <w:rPr>
          <w:rFonts w:ascii="Arial" w:hAnsi="Arial" w:cs="Arial"/>
          <w:i/>
          <w:iCs/>
        </w:rPr>
        <w:t>“</w:t>
      </w:r>
      <w:r w:rsidR="00C662AE" w:rsidRPr="000F5CAA">
        <w:rPr>
          <w:rFonts w:ascii="Arial" w:hAnsi="Arial" w:cs="Arial"/>
          <w:i/>
          <w:iCs/>
        </w:rPr>
        <w:t xml:space="preserve">County </w:t>
      </w:r>
      <w:r w:rsidR="00C662AE" w:rsidRPr="000F5CAA">
        <w:rPr>
          <w:rFonts w:ascii="Arial" w:hAnsi="Arial" w:cs="Arial"/>
          <w:i/>
          <w:iCs/>
          <w:strike/>
        </w:rPr>
        <w:t>nets</w:t>
      </w:r>
      <w:r w:rsidR="00702CCB" w:rsidRPr="000F5CAA">
        <w:rPr>
          <w:rFonts w:ascii="Arial" w:hAnsi="Arial" w:cs="Arial"/>
          <w:i/>
          <w:iCs/>
          <w:strike/>
        </w:rPr>
        <w:t xml:space="preserve"> </w:t>
      </w:r>
      <w:r w:rsidR="00702CCB" w:rsidRPr="000F5CAA">
        <w:rPr>
          <w:rFonts w:ascii="Arial" w:hAnsi="Arial" w:cs="Arial"/>
          <w:i/>
          <w:iCs/>
          <w:u w:val="single"/>
        </w:rPr>
        <w:t>networks</w:t>
      </w:r>
      <w:r w:rsidRPr="000F5CAA">
        <w:rPr>
          <w:rFonts w:ascii="Arial" w:hAnsi="Arial" w:cs="Arial"/>
          <w:i/>
          <w:iCs/>
        </w:rPr>
        <w:t>”</w:t>
      </w:r>
      <w:r w:rsidR="00C662AE" w:rsidRPr="000F5CAA">
        <w:rPr>
          <w:rFonts w:ascii="Arial" w:hAnsi="Arial" w:cs="Arial"/>
        </w:rPr>
        <w:t xml:space="preserve"> </w:t>
      </w:r>
      <w:r w:rsidR="00C662AE" w:rsidRPr="000F5CAA">
        <w:rPr>
          <w:rFonts w:ascii="Arial" w:hAnsi="Arial" w:cs="Arial"/>
          <w:strike/>
        </w:rPr>
        <w:t xml:space="preserve">represents </w:t>
      </w:r>
      <w:r w:rsidR="00702CCB" w:rsidRPr="000F5CAA">
        <w:rPr>
          <w:rFonts w:ascii="Arial" w:hAnsi="Arial" w:cs="Arial"/>
          <w:u w:val="single"/>
        </w:rPr>
        <w:t xml:space="preserve">are </w:t>
      </w:r>
      <w:r w:rsidR="00C662AE" w:rsidRPr="000F5CAA">
        <w:rPr>
          <w:rFonts w:ascii="Arial" w:hAnsi="Arial" w:cs="Arial"/>
        </w:rPr>
        <w:t>the number of networks the plan offers in the network service area county.</w:t>
      </w:r>
    </w:p>
    <w:p w14:paraId="6ED363D4" w14:textId="6328B4D9" w:rsidR="00C662AE" w:rsidRPr="0045472C" w:rsidRDefault="00C662AE" w:rsidP="00466CF4">
      <w:pPr>
        <w:spacing w:after="240"/>
        <w:rPr>
          <w:rFonts w:ascii="Arial" w:hAnsi="Arial" w:cs="Arial"/>
          <w:b/>
          <w:bCs/>
        </w:rPr>
      </w:pPr>
      <w:r w:rsidRPr="0045472C">
        <w:rPr>
          <w:rFonts w:ascii="Arial" w:hAnsi="Arial" w:cs="Arial"/>
          <w:b/>
          <w:bCs/>
        </w:rPr>
        <w:t>Example</w:t>
      </w:r>
      <w:r w:rsidR="003506A6">
        <w:rPr>
          <w:rFonts w:ascii="Arial" w:hAnsi="Arial" w:cs="Arial"/>
          <w:b/>
          <w:bCs/>
        </w:rPr>
        <w:t xml:space="preserve"> </w:t>
      </w:r>
      <w:r w:rsidR="003506A6" w:rsidRPr="00FB2375">
        <w:rPr>
          <w:rFonts w:ascii="Arial" w:hAnsi="Arial" w:cs="Arial"/>
          <w:b/>
          <w:bCs/>
          <w:u w:val="single"/>
        </w:rPr>
        <w:t>3</w:t>
      </w:r>
      <w:r w:rsidRPr="0045472C">
        <w:rPr>
          <w:rFonts w:ascii="Arial" w:hAnsi="Arial" w:cs="Arial"/>
          <w:b/>
          <w:bCs/>
        </w:rPr>
        <w:t>:</w:t>
      </w:r>
    </w:p>
    <w:p w14:paraId="3EA9B83F" w14:textId="77777777" w:rsidR="00C662AE" w:rsidRPr="0045472C" w:rsidRDefault="00C662AE" w:rsidP="00466CF4">
      <w:pPr>
        <w:spacing w:after="240"/>
        <w:rPr>
          <w:rFonts w:ascii="Arial" w:hAnsi="Arial" w:cs="Arial"/>
        </w:rPr>
      </w:pPr>
      <w:r w:rsidRPr="0045472C">
        <w:rPr>
          <w:rFonts w:ascii="Arial" w:hAnsi="Arial" w:cs="Arial"/>
          <w:b/>
          <w:bCs/>
        </w:rPr>
        <w:t>Table E</w:t>
      </w:r>
      <w:r w:rsidRPr="0045472C">
        <w:rPr>
          <w:rFonts w:ascii="Arial" w:hAnsi="Arial" w:cs="Arial"/>
        </w:rPr>
        <w:t xml:space="preserve"> below provides an example of the application of the FTE modifier for EPs, using the hypothetical Shasta County network depicted in Schedule A, Table B, and in Schedule A-1, Table C. In this example, the Plan has two networks which both include Shasta County as part of the network service area (Network 1 and Network 2). The example in Table E pertains to Network 1.</w:t>
      </w:r>
    </w:p>
    <w:p w14:paraId="100E2906" w14:textId="756EE0C3" w:rsidR="00C662AE" w:rsidRPr="000F5CAA" w:rsidRDefault="00C662AE" w:rsidP="00466CF4">
      <w:pPr>
        <w:spacing w:after="240"/>
        <w:rPr>
          <w:rFonts w:ascii="Arial" w:hAnsi="Arial" w:cs="Arial"/>
        </w:rPr>
      </w:pPr>
      <w:r w:rsidRPr="0045472C">
        <w:rPr>
          <w:rFonts w:ascii="Arial" w:hAnsi="Arial" w:cs="Arial"/>
        </w:rPr>
        <w:t xml:space="preserve">In Network 1, two of the of the eight full-time, single-county network providers are exclusively contracted with the Plan. The two full-time EPs will have their original FTE values of 0.14 (as set forth in Schedule A, Table B) replaced with a value of 0.5. This increases the total FTEs for the network county from 1.69 to 2.41. When the telehealth ratio modifier is added to the calculation, as set forth in Schedule A-1, Table C, the </w:t>
      </w:r>
      <w:r w:rsidRPr="000F5CAA">
        <w:rPr>
          <w:rFonts w:ascii="Arial" w:hAnsi="Arial" w:cs="Arial"/>
        </w:rPr>
        <w:t xml:space="preserve">capacity ratio drops to one FTE </w:t>
      </w:r>
      <w:r w:rsidR="007D1B8A" w:rsidRPr="000F5CAA">
        <w:rPr>
          <w:rFonts w:ascii="Arial" w:hAnsi="Arial" w:cs="Arial"/>
        </w:rPr>
        <w:t>C</w:t>
      </w:r>
      <w:r w:rsidRPr="000F5CAA">
        <w:rPr>
          <w:rFonts w:ascii="Arial" w:hAnsi="Arial" w:cs="Arial"/>
        </w:rPr>
        <w:t xml:space="preserve">ounseling MHP per </w:t>
      </w:r>
      <w:r w:rsidR="005C4D70" w:rsidRPr="000F5CAA">
        <w:rPr>
          <w:rFonts w:ascii="Arial" w:hAnsi="Arial" w:cs="Arial"/>
          <w:u w:val="single"/>
        </w:rPr>
        <w:t xml:space="preserve">1,203 </w:t>
      </w:r>
      <w:r w:rsidRPr="000F5CAA">
        <w:rPr>
          <w:rFonts w:ascii="Arial" w:hAnsi="Arial" w:cs="Arial"/>
          <w:strike/>
        </w:rPr>
        <w:t xml:space="preserve">1,230 </w:t>
      </w:r>
      <w:r w:rsidRPr="000F5CAA">
        <w:rPr>
          <w:rFonts w:ascii="Arial" w:hAnsi="Arial" w:cs="Arial"/>
        </w:rPr>
        <w:t>enrollees. (Note that the telehealth ratio modifier is not impacted by EP FTE calculations).</w:t>
      </w:r>
    </w:p>
    <w:p w14:paraId="5E707CA4" w14:textId="52347E85" w:rsidR="00733631" w:rsidRPr="000F5CAA" w:rsidRDefault="00733631" w:rsidP="00466CF4">
      <w:pPr>
        <w:spacing w:after="240"/>
        <w:rPr>
          <w:rFonts w:ascii="Arial" w:hAnsi="Arial" w:cs="Arial"/>
          <w:b/>
          <w:bCs/>
          <w:u w:val="single"/>
        </w:rPr>
      </w:pPr>
      <w:r w:rsidRPr="000F5CAA">
        <w:rPr>
          <w:rFonts w:ascii="Arial" w:hAnsi="Arial" w:cs="Arial"/>
          <w:b/>
          <w:bCs/>
          <w:u w:val="single"/>
        </w:rPr>
        <w:lastRenderedPageBreak/>
        <w:t>Outcome from Example</w:t>
      </w:r>
      <w:r w:rsidR="003506A6" w:rsidRPr="000F5CAA">
        <w:rPr>
          <w:rFonts w:ascii="Arial" w:hAnsi="Arial" w:cs="Arial"/>
          <w:b/>
          <w:bCs/>
          <w:u w:val="single"/>
        </w:rPr>
        <w:t xml:space="preserve"> 3</w:t>
      </w:r>
      <w:r w:rsidRPr="000F5CAA">
        <w:rPr>
          <w:rFonts w:ascii="Arial" w:hAnsi="Arial" w:cs="Arial"/>
          <w:b/>
          <w:bCs/>
          <w:u w:val="single"/>
        </w:rPr>
        <w:t>:</w:t>
      </w:r>
    </w:p>
    <w:p w14:paraId="04AC3B6D" w14:textId="368FD4F0" w:rsidR="00733631" w:rsidRPr="000F5CAA" w:rsidRDefault="00733631" w:rsidP="00466CF4">
      <w:pPr>
        <w:spacing w:after="240"/>
        <w:rPr>
          <w:rFonts w:ascii="Arial" w:hAnsi="Arial" w:cs="Arial"/>
          <w:u w:val="single"/>
        </w:rPr>
      </w:pPr>
      <w:r w:rsidRPr="000F5CAA">
        <w:rPr>
          <w:rFonts w:ascii="Arial" w:hAnsi="Arial" w:cs="Arial"/>
          <w:u w:val="single"/>
        </w:rPr>
        <w:t>The EP Modifier has further reduced the ratio in Network 1 in Shasta County. However, this fictional network still does not meet compliance under the applicable FTE ratio standard.</w:t>
      </w:r>
    </w:p>
    <w:p w14:paraId="0A488062" w14:textId="77777777" w:rsidR="00C662AE" w:rsidRPr="0045472C" w:rsidRDefault="00C662AE" w:rsidP="00583120">
      <w:pPr>
        <w:spacing w:after="240"/>
        <w:jc w:val="center"/>
        <w:rPr>
          <w:rFonts w:ascii="Arial" w:hAnsi="Arial" w:cs="Arial"/>
          <w:b/>
          <w:bCs/>
        </w:rPr>
      </w:pPr>
      <w:r w:rsidRPr="0045472C">
        <w:rPr>
          <w:rFonts w:ascii="Arial" w:hAnsi="Arial" w:cs="Arial"/>
          <w:b/>
          <w:bCs/>
        </w:rPr>
        <w:t xml:space="preserve">Table E: Example </w:t>
      </w:r>
      <w:r w:rsidRPr="0045472C">
        <w:rPr>
          <w:rFonts w:ascii="Arial" w:hAnsi="Arial" w:cs="Arial"/>
          <w:b/>
        </w:rPr>
        <w:t>Ratio</w:t>
      </w:r>
      <w:r w:rsidRPr="0045472C">
        <w:rPr>
          <w:rFonts w:ascii="Arial" w:hAnsi="Arial" w:cs="Arial"/>
          <w:b/>
          <w:bCs/>
        </w:rPr>
        <w:t xml:space="preserve"> Calculation with Network EPs</w:t>
      </w:r>
      <w:r w:rsidRPr="0045472C">
        <w:rPr>
          <w:rFonts w:ascii="Arial" w:hAnsi="Arial" w:cs="Arial"/>
          <w:b/>
        </w:rPr>
        <w:t>*</w:t>
      </w: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E"/>
        <w:tblDescription w:val="Table E: Example Ratio Calculation with Network EPs"/>
      </w:tblPr>
      <w:tblGrid>
        <w:gridCol w:w="3415"/>
        <w:gridCol w:w="1843"/>
        <w:gridCol w:w="1843"/>
        <w:gridCol w:w="1844"/>
      </w:tblGrid>
      <w:tr w:rsidR="00C662AE" w:rsidRPr="0045472C" w14:paraId="31ECA758" w14:textId="77777777" w:rsidTr="00921D05">
        <w:trPr>
          <w:trHeight w:val="647"/>
          <w:jc w:val="center"/>
        </w:trPr>
        <w:tc>
          <w:tcPr>
            <w:tcW w:w="8945" w:type="dxa"/>
            <w:gridSpan w:val="4"/>
            <w:tcBorders>
              <w:bottom w:val="single" w:sz="4" w:space="0" w:color="auto"/>
              <w:right w:val="single" w:sz="4" w:space="0" w:color="auto"/>
            </w:tcBorders>
            <w:shd w:val="clear" w:color="auto" w:fill="035530"/>
            <w:noWrap/>
            <w:vAlign w:val="center"/>
            <w:hideMark/>
          </w:tcPr>
          <w:p w14:paraId="1DED8A45" w14:textId="77777777" w:rsidR="00C662AE" w:rsidRPr="0045472C" w:rsidRDefault="00C662AE" w:rsidP="00583120">
            <w:pPr>
              <w:jc w:val="center"/>
              <w:rPr>
                <w:rFonts w:ascii="Arial" w:hAnsi="Arial" w:cs="Arial"/>
                <w:b/>
                <w:bCs/>
                <w:color w:val="FFFFFF" w:themeColor="background1"/>
              </w:rPr>
            </w:pPr>
            <w:r w:rsidRPr="0045472C">
              <w:rPr>
                <w:rFonts w:ascii="Arial" w:hAnsi="Arial" w:cs="Arial"/>
                <w:b/>
                <w:bCs/>
                <w:color w:val="FFFFFF" w:themeColor="background1"/>
              </w:rPr>
              <w:t>Shasta County - Network 1, for a</w:t>
            </w:r>
          </w:p>
          <w:p w14:paraId="3CDE298C" w14:textId="201394B1" w:rsidR="00C662AE" w:rsidRPr="0045472C" w:rsidRDefault="00C662AE" w:rsidP="00583120">
            <w:pPr>
              <w:jc w:val="center"/>
              <w:rPr>
                <w:rFonts w:ascii="Arial" w:hAnsi="Arial" w:cs="Arial"/>
                <w:b/>
                <w:bCs/>
                <w:color w:val="FFFFFF" w:themeColor="background1"/>
              </w:rPr>
            </w:pPr>
            <w:r w:rsidRPr="0045472C">
              <w:rPr>
                <w:rFonts w:ascii="Arial" w:hAnsi="Arial" w:cs="Arial"/>
                <w:b/>
                <w:bCs/>
                <w:color w:val="FFFFFF" w:themeColor="background1"/>
              </w:rPr>
              <w:t>Plan with two Networks in Shasta County</w:t>
            </w:r>
          </w:p>
        </w:tc>
      </w:tr>
      <w:tr w:rsidR="00C662AE" w:rsidRPr="0045472C" w14:paraId="4EAF4BA4" w14:textId="77777777" w:rsidTr="00B91743">
        <w:trPr>
          <w:trHeight w:val="720"/>
          <w:jc w:val="center"/>
        </w:trPr>
        <w:tc>
          <w:tcPr>
            <w:tcW w:w="3415" w:type="dxa"/>
            <w:tcBorders>
              <w:top w:val="single" w:sz="4" w:space="0" w:color="auto"/>
              <w:left w:val="single" w:sz="4" w:space="0" w:color="auto"/>
              <w:bottom w:val="single" w:sz="4" w:space="0" w:color="auto"/>
              <w:right w:val="single" w:sz="4" w:space="0" w:color="auto"/>
            </w:tcBorders>
            <w:shd w:val="clear" w:color="auto" w:fill="035530"/>
            <w:noWrap/>
            <w:vAlign w:val="center"/>
            <w:hideMark/>
          </w:tcPr>
          <w:p w14:paraId="5EDC9962" w14:textId="77777777" w:rsidR="00C662AE" w:rsidRPr="0045472C" w:rsidRDefault="00C662AE" w:rsidP="00583120">
            <w:pPr>
              <w:jc w:val="center"/>
              <w:rPr>
                <w:rFonts w:ascii="Arial" w:hAnsi="Arial" w:cs="Arial"/>
                <w:b/>
                <w:bCs/>
                <w:color w:val="FFFFFF" w:themeColor="background1"/>
              </w:rPr>
            </w:pPr>
            <w:r w:rsidRPr="0045472C">
              <w:rPr>
                <w:rFonts w:ascii="Arial" w:hAnsi="Arial" w:cs="Arial"/>
                <w:b/>
                <w:color w:val="FFFFFF" w:themeColor="background1"/>
              </w:rPr>
              <w:t>Network Provider Classification</w:t>
            </w:r>
          </w:p>
        </w:tc>
        <w:tc>
          <w:tcPr>
            <w:tcW w:w="1843" w:type="dxa"/>
            <w:tcBorders>
              <w:top w:val="single" w:sz="4" w:space="0" w:color="auto"/>
              <w:left w:val="single" w:sz="4" w:space="0" w:color="auto"/>
              <w:bottom w:val="single" w:sz="4" w:space="0" w:color="auto"/>
              <w:right w:val="single" w:sz="4" w:space="0" w:color="auto"/>
            </w:tcBorders>
            <w:shd w:val="clear" w:color="auto" w:fill="035530"/>
            <w:vAlign w:val="center"/>
            <w:hideMark/>
          </w:tcPr>
          <w:p w14:paraId="4FF52A34" w14:textId="702C8463" w:rsidR="00C662AE" w:rsidRPr="0045472C" w:rsidRDefault="00C662AE" w:rsidP="00583120">
            <w:pPr>
              <w:jc w:val="center"/>
              <w:rPr>
                <w:rFonts w:ascii="Arial" w:hAnsi="Arial" w:cs="Arial"/>
                <w:b/>
                <w:bCs/>
                <w:color w:val="FFFFFF" w:themeColor="background1"/>
              </w:rPr>
            </w:pPr>
            <w:r w:rsidRPr="0045472C">
              <w:rPr>
                <w:rFonts w:ascii="Arial" w:hAnsi="Arial" w:cs="Arial"/>
                <w:b/>
                <w:bCs/>
                <w:color w:val="FFFFFF" w:themeColor="background1"/>
              </w:rPr>
              <w:t xml:space="preserve">FTE </w:t>
            </w:r>
            <w:r w:rsidRPr="000F5CAA">
              <w:rPr>
                <w:rFonts w:ascii="Arial" w:hAnsi="Arial" w:cs="Arial"/>
                <w:b/>
                <w:bCs/>
                <w:color w:val="FFFFFF" w:themeColor="background1"/>
              </w:rPr>
              <w:t>Value</w:t>
            </w:r>
            <w:r w:rsidR="002254B8" w:rsidRPr="000F5CAA">
              <w:rPr>
                <w:rFonts w:ascii="Arial" w:hAnsi="Arial" w:cs="Arial"/>
                <w:b/>
                <w:bCs/>
                <w:color w:val="FFFFFF" w:themeColor="background1"/>
                <w:u w:val="single"/>
              </w:rPr>
              <w:t>*</w:t>
            </w:r>
          </w:p>
        </w:tc>
        <w:tc>
          <w:tcPr>
            <w:tcW w:w="1843" w:type="dxa"/>
            <w:tcBorders>
              <w:top w:val="single" w:sz="4" w:space="0" w:color="auto"/>
              <w:left w:val="single" w:sz="4" w:space="0" w:color="auto"/>
              <w:bottom w:val="single" w:sz="4" w:space="0" w:color="auto"/>
              <w:right w:val="single" w:sz="4" w:space="0" w:color="auto"/>
            </w:tcBorders>
            <w:shd w:val="clear" w:color="auto" w:fill="035530"/>
            <w:vAlign w:val="center"/>
            <w:hideMark/>
          </w:tcPr>
          <w:p w14:paraId="0B60F26C" w14:textId="77777777" w:rsidR="00C662AE" w:rsidRPr="0045472C" w:rsidRDefault="00C662AE" w:rsidP="00583120">
            <w:pPr>
              <w:jc w:val="center"/>
              <w:rPr>
                <w:rFonts w:ascii="Arial" w:hAnsi="Arial" w:cs="Arial"/>
                <w:b/>
                <w:bCs/>
                <w:color w:val="FFFFFF" w:themeColor="background1"/>
              </w:rPr>
            </w:pPr>
            <w:r w:rsidRPr="0045472C">
              <w:rPr>
                <w:rFonts w:ascii="Arial" w:hAnsi="Arial" w:cs="Arial"/>
                <w:b/>
                <w:bCs/>
                <w:color w:val="FFFFFF" w:themeColor="background1"/>
              </w:rPr>
              <w:t>Full-Value Provider Count**</w:t>
            </w:r>
          </w:p>
        </w:tc>
        <w:tc>
          <w:tcPr>
            <w:tcW w:w="1844" w:type="dxa"/>
            <w:tcBorders>
              <w:top w:val="single" w:sz="4" w:space="0" w:color="auto"/>
              <w:left w:val="single" w:sz="4" w:space="0" w:color="auto"/>
              <w:bottom w:val="single" w:sz="4" w:space="0" w:color="auto"/>
              <w:right w:val="single" w:sz="4" w:space="0" w:color="auto"/>
            </w:tcBorders>
            <w:shd w:val="clear" w:color="auto" w:fill="035530"/>
            <w:vAlign w:val="center"/>
            <w:hideMark/>
          </w:tcPr>
          <w:p w14:paraId="2140D16F" w14:textId="77777777" w:rsidR="00C662AE" w:rsidRPr="0045472C" w:rsidRDefault="00C662AE" w:rsidP="00583120">
            <w:pPr>
              <w:jc w:val="center"/>
              <w:rPr>
                <w:rFonts w:ascii="Arial" w:hAnsi="Arial" w:cs="Arial"/>
                <w:b/>
                <w:bCs/>
                <w:color w:val="FFFFFF" w:themeColor="background1"/>
              </w:rPr>
            </w:pPr>
            <w:r w:rsidRPr="0045472C">
              <w:rPr>
                <w:rFonts w:ascii="Arial" w:hAnsi="Arial" w:cs="Arial"/>
                <w:b/>
                <w:bCs/>
                <w:color w:val="FFFFFF" w:themeColor="background1"/>
              </w:rPr>
              <w:t>Summed FTEs</w:t>
            </w:r>
          </w:p>
        </w:tc>
      </w:tr>
      <w:tr w:rsidR="0048697A" w:rsidRPr="0048697A" w14:paraId="3E242FD3" w14:textId="77777777" w:rsidTr="00B91743">
        <w:trPr>
          <w:trHeight w:val="576"/>
          <w:jc w:val="center"/>
        </w:trPr>
        <w:tc>
          <w:tcPr>
            <w:tcW w:w="3415" w:type="dxa"/>
            <w:tcBorders>
              <w:top w:val="single" w:sz="4" w:space="0" w:color="auto"/>
              <w:left w:val="single" w:sz="4" w:space="0" w:color="auto"/>
              <w:bottom w:val="single" w:sz="4" w:space="0" w:color="auto"/>
              <w:right w:val="single" w:sz="4" w:space="0" w:color="auto"/>
            </w:tcBorders>
            <w:noWrap/>
            <w:vAlign w:val="center"/>
          </w:tcPr>
          <w:p w14:paraId="35F5B4E3" w14:textId="77777777" w:rsidR="00C662AE" w:rsidRPr="0048697A" w:rsidRDefault="00C662AE" w:rsidP="00583120">
            <w:pPr>
              <w:jc w:val="center"/>
              <w:rPr>
                <w:rFonts w:ascii="Arial" w:hAnsi="Arial" w:cs="Arial"/>
              </w:rPr>
            </w:pPr>
            <w:r w:rsidRPr="0048697A">
              <w:rPr>
                <w:rFonts w:ascii="Arial" w:hAnsi="Arial" w:cs="Arial"/>
              </w:rPr>
              <w:t>Network 1 Full-Value Provider Count: Counseling MHPs*</w:t>
            </w:r>
          </w:p>
        </w:tc>
        <w:tc>
          <w:tcPr>
            <w:tcW w:w="1843" w:type="dxa"/>
            <w:tcBorders>
              <w:top w:val="single" w:sz="4" w:space="0" w:color="auto"/>
              <w:left w:val="single" w:sz="4" w:space="0" w:color="auto"/>
              <w:bottom w:val="single" w:sz="4" w:space="0" w:color="auto"/>
              <w:right w:val="single" w:sz="4" w:space="0" w:color="auto"/>
            </w:tcBorders>
            <w:vAlign w:val="center"/>
          </w:tcPr>
          <w:p w14:paraId="2E2927EE" w14:textId="77777777" w:rsidR="00C662AE" w:rsidRPr="0048697A" w:rsidRDefault="00C662AE" w:rsidP="00583120">
            <w:pPr>
              <w:jc w:val="cente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7BEDA987" w14:textId="77777777" w:rsidR="00C662AE" w:rsidRPr="0048697A" w:rsidRDefault="00C662AE" w:rsidP="00583120">
            <w:pPr>
              <w:jc w:val="center"/>
              <w:rPr>
                <w:rFonts w:ascii="Arial" w:hAnsi="Arial" w:cs="Arial"/>
              </w:rPr>
            </w:pPr>
            <w:r w:rsidRPr="0048697A">
              <w:rPr>
                <w:rFonts w:ascii="Arial" w:hAnsi="Arial" w:cs="Arial"/>
              </w:rPr>
              <w:t>8</w:t>
            </w:r>
          </w:p>
        </w:tc>
        <w:tc>
          <w:tcPr>
            <w:tcW w:w="1844" w:type="dxa"/>
            <w:tcBorders>
              <w:top w:val="single" w:sz="4" w:space="0" w:color="auto"/>
              <w:left w:val="single" w:sz="4" w:space="0" w:color="auto"/>
              <w:bottom w:val="single" w:sz="4" w:space="0" w:color="auto"/>
              <w:right w:val="single" w:sz="4" w:space="0" w:color="auto"/>
            </w:tcBorders>
            <w:vAlign w:val="center"/>
          </w:tcPr>
          <w:p w14:paraId="678D989A" w14:textId="77777777" w:rsidR="00C662AE" w:rsidRPr="0048697A" w:rsidRDefault="00C662AE" w:rsidP="00583120">
            <w:pPr>
              <w:jc w:val="center"/>
              <w:rPr>
                <w:rFonts w:ascii="Arial" w:hAnsi="Arial" w:cs="Arial"/>
              </w:rPr>
            </w:pPr>
          </w:p>
        </w:tc>
      </w:tr>
      <w:tr w:rsidR="0048697A" w:rsidRPr="0048697A" w14:paraId="0DB7918E" w14:textId="77777777" w:rsidTr="00B91743">
        <w:trPr>
          <w:trHeight w:val="485"/>
          <w:jc w:val="center"/>
        </w:trPr>
        <w:tc>
          <w:tcPr>
            <w:tcW w:w="3415" w:type="dxa"/>
            <w:tcBorders>
              <w:top w:val="single" w:sz="4" w:space="0" w:color="auto"/>
              <w:right w:val="single" w:sz="4" w:space="0" w:color="auto"/>
            </w:tcBorders>
            <w:noWrap/>
            <w:vAlign w:val="center"/>
            <w:hideMark/>
          </w:tcPr>
          <w:p w14:paraId="0D4B905D" w14:textId="77777777" w:rsidR="00C662AE" w:rsidRPr="0048697A" w:rsidRDefault="00C662AE" w:rsidP="00583120">
            <w:pPr>
              <w:jc w:val="center"/>
              <w:rPr>
                <w:rFonts w:ascii="Arial" w:hAnsi="Arial" w:cs="Arial"/>
              </w:rPr>
            </w:pPr>
            <w:r w:rsidRPr="0048697A">
              <w:rPr>
                <w:rFonts w:ascii="Arial" w:hAnsi="Arial" w:cs="Arial"/>
              </w:rPr>
              <w:t>Full-time, Single-County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6EE0A0A" w14:textId="77777777" w:rsidR="00C662AE" w:rsidRPr="0048697A" w:rsidRDefault="00C662AE" w:rsidP="00583120">
            <w:pPr>
              <w:jc w:val="center"/>
              <w:rPr>
                <w:rFonts w:ascii="Arial" w:hAnsi="Arial" w:cs="Arial"/>
              </w:rPr>
            </w:pPr>
            <w:r w:rsidRPr="0048697A">
              <w:rPr>
                <w:rFonts w:ascii="Arial" w:hAnsi="Arial" w:cs="Arial"/>
              </w:rPr>
              <w:t>0.14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03FBB3" w14:textId="77777777" w:rsidR="00C662AE" w:rsidRPr="0048697A" w:rsidRDefault="00C662AE" w:rsidP="00583120">
            <w:pPr>
              <w:jc w:val="center"/>
              <w:rPr>
                <w:rFonts w:ascii="Arial" w:hAnsi="Arial" w:cs="Arial"/>
              </w:rPr>
            </w:pPr>
            <w:r w:rsidRPr="0048697A">
              <w:rPr>
                <w:rFonts w:ascii="Arial" w:hAnsi="Arial" w:cs="Arial"/>
              </w:rPr>
              <w:t>6</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4DBC23D" w14:textId="77777777" w:rsidR="00C662AE" w:rsidRPr="0048697A" w:rsidRDefault="00C662AE" w:rsidP="00583120">
            <w:pPr>
              <w:jc w:val="center"/>
              <w:rPr>
                <w:rFonts w:ascii="Arial" w:hAnsi="Arial" w:cs="Arial"/>
              </w:rPr>
            </w:pPr>
            <w:r w:rsidRPr="0048697A">
              <w:rPr>
                <w:rFonts w:ascii="Arial" w:hAnsi="Arial" w:cs="Arial"/>
              </w:rPr>
              <w:t>0.84</w:t>
            </w:r>
          </w:p>
        </w:tc>
      </w:tr>
      <w:tr w:rsidR="0048697A" w:rsidRPr="0048697A" w14:paraId="4C900BF9" w14:textId="77777777" w:rsidTr="00B91743">
        <w:trPr>
          <w:trHeight w:val="576"/>
          <w:jc w:val="center"/>
        </w:trPr>
        <w:tc>
          <w:tcPr>
            <w:tcW w:w="3415" w:type="dxa"/>
            <w:tcBorders>
              <w:right w:val="single" w:sz="4" w:space="0" w:color="auto"/>
            </w:tcBorders>
            <w:noWrap/>
            <w:vAlign w:val="center"/>
          </w:tcPr>
          <w:p w14:paraId="56579D92" w14:textId="77777777" w:rsidR="00C662AE" w:rsidRPr="0048697A" w:rsidRDefault="00C662AE" w:rsidP="00583120">
            <w:pPr>
              <w:jc w:val="center"/>
              <w:rPr>
                <w:rFonts w:ascii="Arial" w:hAnsi="Arial" w:cs="Arial"/>
              </w:rPr>
            </w:pPr>
            <w:r w:rsidRPr="0048697A">
              <w:rPr>
                <w:rFonts w:ascii="Arial" w:hAnsi="Arial" w:cs="Arial"/>
              </w:rPr>
              <w:t>EP, Full-time, Single-County</w:t>
            </w:r>
          </w:p>
        </w:tc>
        <w:tc>
          <w:tcPr>
            <w:tcW w:w="1843" w:type="dxa"/>
            <w:tcBorders>
              <w:top w:val="single" w:sz="4" w:space="0" w:color="auto"/>
              <w:left w:val="single" w:sz="4" w:space="0" w:color="auto"/>
              <w:bottom w:val="single" w:sz="4" w:space="0" w:color="auto"/>
              <w:right w:val="single" w:sz="4" w:space="0" w:color="auto"/>
            </w:tcBorders>
            <w:vAlign w:val="center"/>
          </w:tcPr>
          <w:p w14:paraId="7A44D196" w14:textId="55DCF037" w:rsidR="00C662AE" w:rsidRPr="0048697A" w:rsidRDefault="00C662AE" w:rsidP="00583120">
            <w:pPr>
              <w:jc w:val="center"/>
              <w:rPr>
                <w:rFonts w:ascii="Arial" w:hAnsi="Arial" w:cs="Arial"/>
              </w:rPr>
            </w:pPr>
            <w:r w:rsidRPr="0048697A">
              <w:rPr>
                <w:rFonts w:ascii="Arial" w:hAnsi="Arial" w:cs="Arial"/>
              </w:rPr>
              <w:t>1</w:t>
            </w:r>
            <w:r w:rsidR="00F41EDB" w:rsidRPr="0048697A">
              <w:rPr>
                <w:rFonts w:ascii="Arial" w:hAnsi="Arial" w:cs="Arial"/>
              </w:rPr>
              <w:t xml:space="preserve">÷ </w:t>
            </w:r>
            <w:r w:rsidRPr="0048697A">
              <w:rPr>
                <w:rFonts w:ascii="Arial" w:hAnsi="Arial" w:cs="Arial"/>
              </w:rPr>
              <w:t>(2 county networks) = ½ = 0.5</w:t>
            </w:r>
          </w:p>
        </w:tc>
        <w:tc>
          <w:tcPr>
            <w:tcW w:w="1843" w:type="dxa"/>
            <w:tcBorders>
              <w:top w:val="single" w:sz="4" w:space="0" w:color="auto"/>
              <w:left w:val="single" w:sz="4" w:space="0" w:color="auto"/>
              <w:bottom w:val="single" w:sz="4" w:space="0" w:color="auto"/>
              <w:right w:val="single" w:sz="4" w:space="0" w:color="auto"/>
            </w:tcBorders>
            <w:vAlign w:val="center"/>
          </w:tcPr>
          <w:p w14:paraId="3D2968BE" w14:textId="77777777" w:rsidR="00C662AE" w:rsidRPr="0048697A" w:rsidRDefault="00C662AE" w:rsidP="00583120">
            <w:pPr>
              <w:jc w:val="center"/>
              <w:rPr>
                <w:rFonts w:ascii="Arial" w:hAnsi="Arial" w:cs="Arial"/>
              </w:rPr>
            </w:pPr>
            <w:r w:rsidRPr="0048697A">
              <w:rPr>
                <w:rFonts w:ascii="Arial" w:hAnsi="Arial" w:cs="Arial"/>
              </w:rPr>
              <w:t>2</w:t>
            </w:r>
          </w:p>
        </w:tc>
        <w:tc>
          <w:tcPr>
            <w:tcW w:w="1844" w:type="dxa"/>
            <w:tcBorders>
              <w:top w:val="single" w:sz="4" w:space="0" w:color="auto"/>
              <w:left w:val="single" w:sz="4" w:space="0" w:color="auto"/>
              <w:bottom w:val="single" w:sz="4" w:space="0" w:color="auto"/>
              <w:right w:val="single" w:sz="4" w:space="0" w:color="auto"/>
            </w:tcBorders>
            <w:vAlign w:val="center"/>
          </w:tcPr>
          <w:p w14:paraId="78A42799" w14:textId="77777777" w:rsidR="00C662AE" w:rsidRPr="0048697A" w:rsidRDefault="00C662AE" w:rsidP="00583120">
            <w:pPr>
              <w:jc w:val="center"/>
              <w:rPr>
                <w:rFonts w:ascii="Arial" w:hAnsi="Arial" w:cs="Arial"/>
              </w:rPr>
            </w:pPr>
            <w:r w:rsidRPr="0048697A">
              <w:rPr>
                <w:rFonts w:ascii="Arial" w:hAnsi="Arial" w:cs="Arial"/>
              </w:rPr>
              <w:t>1</w:t>
            </w:r>
          </w:p>
        </w:tc>
      </w:tr>
      <w:tr w:rsidR="0048697A" w:rsidRPr="0048697A" w14:paraId="1645D217" w14:textId="77777777" w:rsidTr="00B91743">
        <w:trPr>
          <w:trHeight w:val="576"/>
          <w:jc w:val="center"/>
        </w:trPr>
        <w:tc>
          <w:tcPr>
            <w:tcW w:w="3415" w:type="dxa"/>
            <w:tcBorders>
              <w:right w:val="single" w:sz="4" w:space="0" w:color="auto"/>
            </w:tcBorders>
            <w:noWrap/>
            <w:vAlign w:val="center"/>
            <w:hideMark/>
          </w:tcPr>
          <w:p w14:paraId="4D281ECE" w14:textId="77777777" w:rsidR="00C662AE" w:rsidRPr="0048697A" w:rsidRDefault="00C662AE" w:rsidP="00583120">
            <w:pPr>
              <w:jc w:val="center"/>
              <w:rPr>
                <w:rFonts w:ascii="Arial" w:hAnsi="Arial" w:cs="Arial"/>
              </w:rPr>
            </w:pPr>
            <w:r w:rsidRPr="0048697A">
              <w:rPr>
                <w:rFonts w:ascii="Arial" w:hAnsi="Arial" w:cs="Arial"/>
              </w:rPr>
              <w:t>Part-time, Single-County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32AC64" w14:textId="77777777" w:rsidR="00C662AE" w:rsidRPr="0048697A" w:rsidRDefault="00C662AE" w:rsidP="00583120">
            <w:pPr>
              <w:jc w:val="center"/>
              <w:rPr>
                <w:rFonts w:ascii="Arial" w:hAnsi="Arial" w:cs="Arial"/>
              </w:rPr>
            </w:pPr>
            <w:r w:rsidRPr="0048697A">
              <w:rPr>
                <w:rFonts w:ascii="Arial" w:hAnsi="Arial" w:cs="Arial"/>
              </w:rPr>
              <w:t>0.09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0C2CDB" w14:textId="77777777" w:rsidR="00C662AE" w:rsidRPr="0048697A" w:rsidRDefault="00C662AE" w:rsidP="00583120">
            <w:pPr>
              <w:jc w:val="center"/>
              <w:rPr>
                <w:rFonts w:ascii="Arial" w:hAnsi="Arial" w:cs="Arial"/>
              </w:rPr>
            </w:pPr>
            <w:r w:rsidRPr="0048697A">
              <w:rPr>
                <w:rFonts w:ascii="Arial" w:hAnsi="Arial" w:cs="Arial"/>
              </w:rPr>
              <w:t>4</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4218DB4" w14:textId="77777777" w:rsidR="00C662AE" w:rsidRPr="0048697A" w:rsidRDefault="00C662AE" w:rsidP="00583120">
            <w:pPr>
              <w:jc w:val="center"/>
              <w:rPr>
                <w:rFonts w:ascii="Arial" w:hAnsi="Arial" w:cs="Arial"/>
              </w:rPr>
            </w:pPr>
            <w:r w:rsidRPr="0048697A">
              <w:rPr>
                <w:rFonts w:ascii="Arial" w:hAnsi="Arial" w:cs="Arial"/>
              </w:rPr>
              <w:t>0.36</w:t>
            </w:r>
          </w:p>
        </w:tc>
      </w:tr>
      <w:tr w:rsidR="0048697A" w:rsidRPr="0048697A" w14:paraId="424FCC3A" w14:textId="77777777" w:rsidTr="00B91743">
        <w:trPr>
          <w:trHeight w:val="576"/>
          <w:jc w:val="center"/>
        </w:trPr>
        <w:tc>
          <w:tcPr>
            <w:tcW w:w="3415" w:type="dxa"/>
            <w:tcBorders>
              <w:right w:val="single" w:sz="4" w:space="0" w:color="auto"/>
            </w:tcBorders>
            <w:noWrap/>
            <w:vAlign w:val="center"/>
            <w:hideMark/>
          </w:tcPr>
          <w:p w14:paraId="0F996977" w14:textId="77777777" w:rsidR="00C662AE" w:rsidRPr="0048697A" w:rsidRDefault="00C662AE" w:rsidP="00583120">
            <w:pPr>
              <w:jc w:val="center"/>
              <w:rPr>
                <w:rFonts w:ascii="Arial" w:hAnsi="Arial" w:cs="Arial"/>
              </w:rPr>
            </w:pPr>
            <w:r w:rsidRPr="0048697A">
              <w:rPr>
                <w:rFonts w:ascii="Arial" w:hAnsi="Arial" w:cs="Arial"/>
              </w:rPr>
              <w:t>Full-time, Multi-County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6FBB0C" w14:textId="77777777" w:rsidR="00C662AE" w:rsidRPr="0048697A" w:rsidRDefault="00C662AE" w:rsidP="00583120">
            <w:pPr>
              <w:jc w:val="center"/>
              <w:rPr>
                <w:rFonts w:ascii="Arial" w:hAnsi="Arial" w:cs="Arial"/>
              </w:rPr>
            </w:pPr>
            <w:r w:rsidRPr="0048697A">
              <w:rPr>
                <w:rFonts w:ascii="Arial" w:hAnsi="Arial" w:cs="Arial"/>
              </w:rPr>
              <w:t>0.07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677368" w14:textId="77777777" w:rsidR="00C662AE" w:rsidRPr="0048697A" w:rsidRDefault="00C662AE" w:rsidP="00583120">
            <w:pPr>
              <w:jc w:val="center"/>
              <w:rPr>
                <w:rFonts w:ascii="Arial" w:hAnsi="Arial" w:cs="Arial"/>
              </w:rPr>
            </w:pPr>
            <w:r w:rsidRPr="0048697A">
              <w:rPr>
                <w:rFonts w:ascii="Arial" w:hAnsi="Arial" w:cs="Arial"/>
              </w:rPr>
              <w:t>3</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3C33187" w14:textId="77777777" w:rsidR="00C662AE" w:rsidRPr="0048697A" w:rsidRDefault="00C662AE" w:rsidP="00583120">
            <w:pPr>
              <w:jc w:val="center"/>
              <w:rPr>
                <w:rFonts w:ascii="Arial" w:hAnsi="Arial" w:cs="Arial"/>
              </w:rPr>
            </w:pPr>
            <w:r w:rsidRPr="0048697A">
              <w:rPr>
                <w:rFonts w:ascii="Arial" w:hAnsi="Arial" w:cs="Arial"/>
              </w:rPr>
              <w:t>0.21</w:t>
            </w:r>
          </w:p>
        </w:tc>
      </w:tr>
      <w:tr w:rsidR="0048697A" w:rsidRPr="0048697A" w14:paraId="195C8346" w14:textId="77777777" w:rsidTr="00B91743">
        <w:trPr>
          <w:trHeight w:val="503"/>
          <w:jc w:val="center"/>
        </w:trPr>
        <w:tc>
          <w:tcPr>
            <w:tcW w:w="3415" w:type="dxa"/>
            <w:tcBorders>
              <w:right w:val="single" w:sz="4" w:space="0" w:color="auto"/>
            </w:tcBorders>
            <w:noWrap/>
            <w:vAlign w:val="center"/>
            <w:hideMark/>
          </w:tcPr>
          <w:p w14:paraId="0A5AB227" w14:textId="77777777" w:rsidR="00C662AE" w:rsidRPr="0048697A" w:rsidRDefault="00C662AE" w:rsidP="00583120">
            <w:pPr>
              <w:jc w:val="center"/>
              <w:rPr>
                <w:rFonts w:ascii="Arial" w:hAnsi="Arial" w:cs="Arial"/>
                <w:strike/>
              </w:rPr>
            </w:pPr>
            <w:r w:rsidRPr="0048697A">
              <w:rPr>
                <w:rFonts w:ascii="Arial" w:hAnsi="Arial" w:cs="Arial"/>
                <w:strike/>
              </w:rPr>
              <w:t>Part-time, Multi-County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7136EB" w14:textId="77777777" w:rsidR="00C662AE" w:rsidRPr="0048697A" w:rsidRDefault="00C662AE" w:rsidP="00583120">
            <w:pPr>
              <w:jc w:val="center"/>
              <w:rPr>
                <w:rFonts w:ascii="Arial" w:hAnsi="Arial" w:cs="Arial"/>
                <w:strike/>
              </w:rPr>
            </w:pPr>
            <w:r w:rsidRPr="0048697A">
              <w:rPr>
                <w:rFonts w:ascii="Arial" w:hAnsi="Arial" w:cs="Arial"/>
                <w:strike/>
              </w:rPr>
              <w:t>0.04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654AA6B" w14:textId="77777777" w:rsidR="00C662AE" w:rsidRPr="0048697A" w:rsidRDefault="00C662AE" w:rsidP="00583120">
            <w:pPr>
              <w:jc w:val="center"/>
              <w:rPr>
                <w:rFonts w:ascii="Arial" w:hAnsi="Arial" w:cs="Arial"/>
                <w:strike/>
              </w:rPr>
            </w:pPr>
            <w:r w:rsidRPr="0048697A">
              <w:rPr>
                <w:rFonts w:ascii="Arial" w:hAnsi="Arial" w:cs="Arial"/>
                <w:strike/>
              </w:rPr>
              <w:t>0</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91A8491" w14:textId="77777777" w:rsidR="00C662AE" w:rsidRPr="0048697A" w:rsidRDefault="00C662AE" w:rsidP="00583120">
            <w:pPr>
              <w:jc w:val="center"/>
              <w:rPr>
                <w:rFonts w:ascii="Arial" w:hAnsi="Arial" w:cs="Arial"/>
                <w:strike/>
              </w:rPr>
            </w:pPr>
            <w:r w:rsidRPr="0048697A">
              <w:rPr>
                <w:rFonts w:ascii="Arial" w:hAnsi="Arial" w:cs="Arial"/>
                <w:strike/>
              </w:rPr>
              <w:t>0</w:t>
            </w:r>
          </w:p>
        </w:tc>
      </w:tr>
      <w:tr w:rsidR="0048697A" w:rsidRPr="0048697A" w14:paraId="4E08FBD5" w14:textId="77777777" w:rsidTr="00B91743">
        <w:trPr>
          <w:trHeight w:val="576"/>
          <w:jc w:val="center"/>
        </w:trPr>
        <w:tc>
          <w:tcPr>
            <w:tcW w:w="3415" w:type="dxa"/>
            <w:tcBorders>
              <w:right w:val="single" w:sz="4" w:space="0" w:color="auto"/>
            </w:tcBorders>
            <w:noWrap/>
            <w:vAlign w:val="center"/>
            <w:hideMark/>
          </w:tcPr>
          <w:p w14:paraId="0D24CAAE" w14:textId="77777777" w:rsidR="00C662AE" w:rsidRPr="0048697A" w:rsidRDefault="00C662AE" w:rsidP="00583120">
            <w:pPr>
              <w:jc w:val="center"/>
              <w:rPr>
                <w:rFonts w:ascii="Arial" w:hAnsi="Arial" w:cs="Arial"/>
              </w:rPr>
            </w:pPr>
            <w:r w:rsidRPr="0048697A">
              <w:rPr>
                <w:rFonts w:ascii="Arial" w:hAnsi="Arial" w:cs="Arial"/>
              </w:rPr>
              <w:t>Total for Network 1 Providers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803C2B" w14:textId="77777777" w:rsidR="00C662AE" w:rsidRPr="0048697A" w:rsidRDefault="00C662AE" w:rsidP="00583120">
            <w:pPr>
              <w:jc w:val="cente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D9117FB" w14:textId="77777777" w:rsidR="00C662AE" w:rsidRPr="0048697A" w:rsidRDefault="00C662AE" w:rsidP="00583120">
            <w:pPr>
              <w:jc w:val="center"/>
              <w:rPr>
                <w:rFonts w:ascii="Arial" w:hAnsi="Arial" w:cs="Arial"/>
              </w:rPr>
            </w:pPr>
            <w:r w:rsidRPr="0048697A">
              <w:rPr>
                <w:rFonts w:ascii="Arial" w:hAnsi="Arial" w:cs="Arial"/>
              </w:rPr>
              <w:t>15</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251FAA2" w14:textId="77777777" w:rsidR="00C662AE" w:rsidRPr="0048697A" w:rsidRDefault="00C662AE" w:rsidP="00583120">
            <w:pPr>
              <w:jc w:val="center"/>
              <w:rPr>
                <w:rFonts w:ascii="Arial" w:hAnsi="Arial" w:cs="Arial"/>
              </w:rPr>
            </w:pPr>
            <w:r w:rsidRPr="0048697A">
              <w:rPr>
                <w:rFonts w:ascii="Arial" w:hAnsi="Arial" w:cs="Arial"/>
              </w:rPr>
              <w:t>2.41</w:t>
            </w:r>
          </w:p>
        </w:tc>
      </w:tr>
      <w:tr w:rsidR="0048697A" w:rsidRPr="0048697A" w14:paraId="1A8958D3" w14:textId="77777777" w:rsidTr="00B91743">
        <w:trPr>
          <w:trHeight w:val="576"/>
          <w:jc w:val="center"/>
        </w:trPr>
        <w:tc>
          <w:tcPr>
            <w:tcW w:w="3415" w:type="dxa"/>
            <w:tcBorders>
              <w:right w:val="single" w:sz="4" w:space="0" w:color="auto"/>
            </w:tcBorders>
            <w:noWrap/>
            <w:vAlign w:val="center"/>
          </w:tcPr>
          <w:p w14:paraId="49B1F245" w14:textId="77777777" w:rsidR="00C662AE" w:rsidRPr="0048697A" w:rsidRDefault="00C662AE" w:rsidP="00583120">
            <w:pPr>
              <w:jc w:val="center"/>
              <w:rPr>
                <w:rFonts w:ascii="Arial" w:hAnsi="Arial" w:cs="Arial"/>
              </w:rPr>
            </w:pPr>
            <w:r w:rsidRPr="0048697A">
              <w:rPr>
                <w:rFonts w:ascii="Arial" w:hAnsi="Arial" w:cs="Arial"/>
              </w:rPr>
              <w:t>Telehealth Ratio Modifier, Calculated in Schedule A-1, Table C</w:t>
            </w:r>
          </w:p>
        </w:tc>
        <w:tc>
          <w:tcPr>
            <w:tcW w:w="1843" w:type="dxa"/>
            <w:tcBorders>
              <w:top w:val="single" w:sz="4" w:space="0" w:color="auto"/>
              <w:left w:val="single" w:sz="4" w:space="0" w:color="auto"/>
              <w:bottom w:val="single" w:sz="4" w:space="0" w:color="auto"/>
              <w:right w:val="single" w:sz="4" w:space="0" w:color="auto"/>
            </w:tcBorders>
            <w:noWrap/>
            <w:vAlign w:val="center"/>
          </w:tcPr>
          <w:p w14:paraId="4AA81D61" w14:textId="77777777" w:rsidR="00C662AE" w:rsidRPr="0048697A" w:rsidRDefault="00C662AE" w:rsidP="00583120">
            <w:pPr>
              <w:jc w:val="cente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2E7BE3B0" w14:textId="77777777" w:rsidR="00C662AE" w:rsidRPr="0048697A" w:rsidRDefault="00C662AE" w:rsidP="00583120">
            <w:pPr>
              <w:jc w:val="center"/>
              <w:rPr>
                <w:rFonts w:ascii="Arial" w:hAnsi="Arial" w:cs="Arial"/>
              </w:rPr>
            </w:pPr>
          </w:p>
        </w:tc>
        <w:tc>
          <w:tcPr>
            <w:tcW w:w="1844" w:type="dxa"/>
            <w:tcBorders>
              <w:top w:val="single" w:sz="4" w:space="0" w:color="auto"/>
              <w:left w:val="single" w:sz="4" w:space="0" w:color="auto"/>
              <w:bottom w:val="single" w:sz="4" w:space="0" w:color="auto"/>
              <w:right w:val="single" w:sz="4" w:space="0" w:color="auto"/>
            </w:tcBorders>
            <w:noWrap/>
            <w:vAlign w:val="center"/>
          </w:tcPr>
          <w:p w14:paraId="61DA9B6C" w14:textId="77777777" w:rsidR="00C662AE" w:rsidRPr="0048697A" w:rsidRDefault="00C662AE" w:rsidP="00583120">
            <w:pPr>
              <w:jc w:val="center"/>
              <w:rPr>
                <w:rFonts w:ascii="Arial" w:hAnsi="Arial" w:cs="Arial"/>
              </w:rPr>
            </w:pPr>
            <w:r w:rsidRPr="0048697A">
              <w:rPr>
                <w:rFonts w:ascii="Arial" w:hAnsi="Arial" w:cs="Arial"/>
              </w:rPr>
              <w:t>0.085</w:t>
            </w:r>
          </w:p>
        </w:tc>
      </w:tr>
      <w:tr w:rsidR="0048697A" w:rsidRPr="0048697A" w14:paraId="4F1ECF66" w14:textId="77777777" w:rsidTr="00B91743">
        <w:trPr>
          <w:trHeight w:val="458"/>
          <w:jc w:val="center"/>
        </w:trPr>
        <w:tc>
          <w:tcPr>
            <w:tcW w:w="3415" w:type="dxa"/>
            <w:tcBorders>
              <w:right w:val="single" w:sz="4" w:space="0" w:color="auto"/>
            </w:tcBorders>
            <w:noWrap/>
            <w:vAlign w:val="center"/>
          </w:tcPr>
          <w:p w14:paraId="22216148" w14:textId="77777777" w:rsidR="00C662AE" w:rsidRPr="0048697A" w:rsidRDefault="00C662AE" w:rsidP="00583120">
            <w:pPr>
              <w:jc w:val="center"/>
              <w:rPr>
                <w:rFonts w:ascii="Arial" w:hAnsi="Arial" w:cs="Arial"/>
              </w:rPr>
            </w:pPr>
            <w:r w:rsidRPr="0048697A">
              <w:rPr>
                <w:rFonts w:ascii="Arial" w:hAnsi="Arial" w:cs="Arial"/>
              </w:rPr>
              <w:t>Enrollment</w:t>
            </w:r>
          </w:p>
        </w:tc>
        <w:tc>
          <w:tcPr>
            <w:tcW w:w="1843" w:type="dxa"/>
            <w:tcBorders>
              <w:top w:val="single" w:sz="4" w:space="0" w:color="auto"/>
              <w:left w:val="single" w:sz="4" w:space="0" w:color="auto"/>
              <w:bottom w:val="single" w:sz="4" w:space="0" w:color="auto"/>
              <w:right w:val="single" w:sz="4" w:space="0" w:color="auto"/>
            </w:tcBorders>
            <w:noWrap/>
            <w:vAlign w:val="center"/>
          </w:tcPr>
          <w:p w14:paraId="759DDDB2" w14:textId="77777777" w:rsidR="00C662AE" w:rsidRPr="0048697A" w:rsidRDefault="00C662AE" w:rsidP="00583120">
            <w:pPr>
              <w:jc w:val="cente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444EEE00" w14:textId="77777777" w:rsidR="00C662AE" w:rsidRPr="0048697A" w:rsidRDefault="00C662AE" w:rsidP="00583120">
            <w:pPr>
              <w:jc w:val="center"/>
              <w:rPr>
                <w:rFonts w:ascii="Arial" w:hAnsi="Arial" w:cs="Arial"/>
              </w:rPr>
            </w:pPr>
          </w:p>
        </w:tc>
        <w:tc>
          <w:tcPr>
            <w:tcW w:w="1844" w:type="dxa"/>
            <w:tcBorders>
              <w:top w:val="single" w:sz="4" w:space="0" w:color="auto"/>
              <w:left w:val="single" w:sz="4" w:space="0" w:color="auto"/>
              <w:bottom w:val="single" w:sz="4" w:space="0" w:color="auto"/>
              <w:right w:val="single" w:sz="4" w:space="0" w:color="auto"/>
            </w:tcBorders>
            <w:noWrap/>
            <w:vAlign w:val="center"/>
          </w:tcPr>
          <w:p w14:paraId="230D450D" w14:textId="77777777" w:rsidR="00C662AE" w:rsidRPr="0048697A" w:rsidRDefault="00C662AE" w:rsidP="00583120">
            <w:pPr>
              <w:jc w:val="center"/>
              <w:rPr>
                <w:rFonts w:ascii="Arial" w:hAnsi="Arial" w:cs="Arial"/>
              </w:rPr>
            </w:pPr>
            <w:r w:rsidRPr="0048697A">
              <w:rPr>
                <w:rFonts w:ascii="Arial" w:hAnsi="Arial" w:cs="Arial"/>
              </w:rPr>
              <w:t>3,000</w:t>
            </w:r>
          </w:p>
        </w:tc>
      </w:tr>
      <w:tr w:rsidR="0048697A" w:rsidRPr="0048697A" w14:paraId="38ED2099" w14:textId="77777777" w:rsidTr="00B91743">
        <w:trPr>
          <w:trHeight w:val="576"/>
          <w:jc w:val="center"/>
        </w:trPr>
        <w:tc>
          <w:tcPr>
            <w:tcW w:w="3415" w:type="dxa"/>
            <w:tcBorders>
              <w:right w:val="single" w:sz="4" w:space="0" w:color="auto"/>
            </w:tcBorders>
            <w:noWrap/>
            <w:vAlign w:val="center"/>
            <w:hideMark/>
          </w:tcPr>
          <w:p w14:paraId="6C07676D" w14:textId="77777777" w:rsidR="00C662AE" w:rsidRPr="0048697A" w:rsidRDefault="00C662AE" w:rsidP="00583120">
            <w:pPr>
              <w:jc w:val="center"/>
              <w:rPr>
                <w:rFonts w:ascii="Arial" w:hAnsi="Arial" w:cs="Arial"/>
              </w:rPr>
            </w:pPr>
            <w:r w:rsidRPr="0048697A">
              <w:rPr>
                <w:rFonts w:ascii="Arial" w:hAnsi="Arial" w:cs="Arial"/>
              </w:rPr>
              <w:t>Capacity Ratio (1: _____)</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317A599" w14:textId="77777777" w:rsidR="00C662AE" w:rsidRPr="0048697A" w:rsidRDefault="00C662AE" w:rsidP="00583120">
            <w:pPr>
              <w:jc w:val="center"/>
              <w:rPr>
                <w:rFonts w:ascii="Arial" w:hAnsi="Arial" w:cs="Arial"/>
              </w:rPr>
            </w:pPr>
          </w:p>
        </w:tc>
        <w:tc>
          <w:tcPr>
            <w:tcW w:w="3687" w:type="dxa"/>
            <w:gridSpan w:val="2"/>
            <w:tcBorders>
              <w:top w:val="single" w:sz="4" w:space="0" w:color="auto"/>
              <w:left w:val="single" w:sz="4" w:space="0" w:color="auto"/>
              <w:bottom w:val="single" w:sz="4" w:space="0" w:color="auto"/>
              <w:right w:val="single" w:sz="4" w:space="0" w:color="auto"/>
            </w:tcBorders>
            <w:noWrap/>
            <w:vAlign w:val="center"/>
            <w:hideMark/>
          </w:tcPr>
          <w:p w14:paraId="6D38D916" w14:textId="2FCB29C0" w:rsidR="00C662AE" w:rsidRPr="0048697A" w:rsidRDefault="00C662AE" w:rsidP="00583120">
            <w:pPr>
              <w:jc w:val="center"/>
              <w:rPr>
                <w:rFonts w:ascii="Arial" w:hAnsi="Arial" w:cs="Arial"/>
              </w:rPr>
            </w:pPr>
            <w:r w:rsidRPr="0048697A">
              <w:rPr>
                <w:rFonts w:ascii="Arial" w:hAnsi="Arial" w:cs="Arial"/>
              </w:rPr>
              <w:t>3,000</w:t>
            </w:r>
            <w:r w:rsidR="00B44F4A" w:rsidRPr="0048697A">
              <w:rPr>
                <w:rFonts w:ascii="Arial" w:hAnsi="Arial" w:cs="Arial"/>
              </w:rPr>
              <w:t xml:space="preserve"> ÷ </w:t>
            </w:r>
            <w:r w:rsidRPr="0048697A">
              <w:rPr>
                <w:rFonts w:ascii="Arial" w:hAnsi="Arial" w:cs="Arial"/>
              </w:rPr>
              <w:t>(2.41 + 0.085) = 1,203</w:t>
            </w:r>
          </w:p>
        </w:tc>
      </w:tr>
    </w:tbl>
    <w:p w14:paraId="7C084DF1" w14:textId="77777777" w:rsidR="00C662AE" w:rsidRPr="0048697A" w:rsidRDefault="00C662AE" w:rsidP="00583120">
      <w:pPr>
        <w:spacing w:before="120" w:after="60"/>
        <w:rPr>
          <w:rFonts w:ascii="Arial" w:hAnsi="Arial" w:cs="Arial"/>
        </w:rPr>
      </w:pPr>
      <w:r w:rsidRPr="0048697A">
        <w:rPr>
          <w:rFonts w:ascii="Arial" w:hAnsi="Arial" w:cs="Arial"/>
        </w:rPr>
        <w:t>*Values in this example are derived from Schedule A, Table B, and Schedule A-1, Table C.</w:t>
      </w:r>
    </w:p>
    <w:p w14:paraId="65A317E0" w14:textId="293BA62D" w:rsidR="00C662AE" w:rsidRDefault="00C662AE" w:rsidP="00583120">
      <w:pPr>
        <w:rPr>
          <w:rFonts w:ascii="Arial" w:hAnsi="Arial" w:cs="Arial"/>
        </w:rPr>
      </w:pPr>
      <w:r w:rsidRPr="0048697A">
        <w:rPr>
          <w:rFonts w:ascii="Arial" w:hAnsi="Arial" w:cs="Arial"/>
        </w:rPr>
        <w:t xml:space="preserve">**Full-value provider count is defined in the Counseling </w:t>
      </w:r>
      <w:r w:rsidR="007D1B8A" w:rsidRPr="0048697A">
        <w:rPr>
          <w:rFonts w:ascii="Arial" w:hAnsi="Arial" w:cs="Arial"/>
        </w:rPr>
        <w:t xml:space="preserve">Non-Physician </w:t>
      </w:r>
      <w:r w:rsidR="00C007F5" w:rsidRPr="0048697A">
        <w:rPr>
          <w:rFonts w:ascii="Arial" w:hAnsi="Arial" w:cs="Arial"/>
        </w:rPr>
        <w:t xml:space="preserve">Mental Health Professional Ratio </w:t>
      </w:r>
      <w:r w:rsidRPr="0048697A">
        <w:rPr>
          <w:rFonts w:ascii="Arial" w:hAnsi="Arial" w:cs="Arial"/>
        </w:rPr>
        <w:t>Standards and Methodology document.</w:t>
      </w:r>
    </w:p>
    <w:p w14:paraId="49A18CDA" w14:textId="77777777" w:rsidR="00E81C33" w:rsidRPr="0045472C" w:rsidRDefault="00E81C33" w:rsidP="00583120">
      <w:pPr>
        <w:rPr>
          <w:rFonts w:ascii="Arial" w:hAnsi="Arial" w:cs="Arial"/>
        </w:rPr>
      </w:pPr>
    </w:p>
    <w:p w14:paraId="06C654D6" w14:textId="77777777" w:rsidR="000424EB" w:rsidRDefault="000424EB" w:rsidP="00583120">
      <w:pPr>
        <w:spacing w:after="160"/>
        <w:rPr>
          <w:rFonts w:ascii="Arial" w:eastAsiaTheme="majorEastAsia" w:hAnsi="Arial" w:cs="Arial"/>
          <w:b/>
          <w:bCs/>
          <w:sz w:val="28"/>
          <w:szCs w:val="28"/>
        </w:rPr>
      </w:pPr>
      <w:r>
        <w:rPr>
          <w:b/>
          <w:bCs/>
        </w:rPr>
        <w:br w:type="page"/>
      </w:r>
    </w:p>
    <w:p w14:paraId="3FD2DB83" w14:textId="102C18F6" w:rsidR="00C662AE" w:rsidRPr="008320F3" w:rsidRDefault="00C662AE" w:rsidP="00583120">
      <w:pPr>
        <w:pStyle w:val="Heading1"/>
      </w:pPr>
      <w:r w:rsidRPr="008320F3">
        <w:lastRenderedPageBreak/>
        <w:t>Schedule A-3</w:t>
      </w:r>
    </w:p>
    <w:p w14:paraId="7346C834" w14:textId="27323823" w:rsidR="00C662AE" w:rsidRDefault="00C662AE" w:rsidP="00583120">
      <w:pPr>
        <w:jc w:val="center"/>
        <w:rPr>
          <w:rFonts w:ascii="Arial" w:hAnsi="Arial" w:cs="Arial"/>
          <w:b/>
          <w:bCs/>
          <w:sz w:val="28"/>
          <w:szCs w:val="28"/>
        </w:rPr>
      </w:pPr>
      <w:r w:rsidRPr="000424EB">
        <w:rPr>
          <w:rFonts w:ascii="Arial" w:hAnsi="Arial" w:cs="Arial"/>
          <w:b/>
          <w:bCs/>
          <w:sz w:val="28"/>
          <w:szCs w:val="28"/>
        </w:rPr>
        <w:t>Alternative Methodology</w:t>
      </w:r>
      <w:r w:rsidR="00193BF9" w:rsidRPr="000424EB">
        <w:rPr>
          <w:rFonts w:ascii="Arial" w:hAnsi="Arial" w:cs="Arial"/>
          <w:b/>
          <w:bCs/>
          <w:sz w:val="28"/>
          <w:szCs w:val="28"/>
        </w:rPr>
        <w:br/>
      </w:r>
      <w:r w:rsidRPr="000424EB">
        <w:rPr>
          <w:rFonts w:ascii="Arial" w:hAnsi="Arial" w:cs="Arial"/>
          <w:b/>
          <w:bCs/>
          <w:sz w:val="28"/>
          <w:szCs w:val="28"/>
        </w:rPr>
        <w:t>Provider FTE Modifier for High Enrollment Counties</w:t>
      </w:r>
    </w:p>
    <w:p w14:paraId="7D7B5C03" w14:textId="77777777" w:rsidR="00C662AE" w:rsidRPr="0045472C" w:rsidRDefault="00C662AE" w:rsidP="00466CF4">
      <w:pPr>
        <w:spacing w:before="240" w:after="240"/>
        <w:rPr>
          <w:rFonts w:ascii="Arial" w:hAnsi="Arial" w:cs="Arial"/>
          <w:b/>
          <w:bCs/>
        </w:rPr>
      </w:pPr>
      <w:r w:rsidRPr="0045472C">
        <w:rPr>
          <w:rFonts w:ascii="Arial" w:hAnsi="Arial" w:cs="Arial"/>
          <w:b/>
          <w:bCs/>
        </w:rPr>
        <w:t>Threshold Value for High Enrollment Counties:</w:t>
      </w:r>
    </w:p>
    <w:p w14:paraId="0085D94D" w14:textId="77777777" w:rsidR="00C662AE" w:rsidRPr="0045472C" w:rsidRDefault="00C662AE" w:rsidP="00466CF4">
      <w:pPr>
        <w:spacing w:after="240"/>
        <w:rPr>
          <w:rFonts w:ascii="Arial" w:hAnsi="Arial" w:cs="Arial"/>
          <w:b/>
          <w:bCs/>
        </w:rPr>
      </w:pPr>
      <w:r w:rsidRPr="0045472C">
        <w:rPr>
          <w:rFonts w:ascii="Arial" w:hAnsi="Arial" w:cs="Arial"/>
        </w:rPr>
        <w:t>A Provider FTE Modifier for High Enrollment Counties is applied to networks that enroll more than 1% of a county’s population. County population figures are calculated using population points, posted annually by the DMHC as set forth in Rule 1300.67.2.2(b)(11).</w:t>
      </w:r>
    </w:p>
    <w:p w14:paraId="29EE1C57" w14:textId="77777777" w:rsidR="00C662AE" w:rsidRPr="0045472C" w:rsidRDefault="00C662AE" w:rsidP="00466CF4">
      <w:pPr>
        <w:spacing w:after="240"/>
        <w:rPr>
          <w:rFonts w:ascii="Arial" w:hAnsi="Arial" w:cs="Arial"/>
          <w:b/>
          <w:bCs/>
        </w:rPr>
      </w:pPr>
      <w:r w:rsidRPr="0045472C">
        <w:rPr>
          <w:rFonts w:ascii="Arial" w:hAnsi="Arial" w:cs="Arial"/>
          <w:b/>
          <w:bCs/>
        </w:rPr>
        <w:t>Enrollment Multiplier for High Enrollment Counties:</w:t>
      </w:r>
    </w:p>
    <w:p w14:paraId="2EC20661" w14:textId="77777777" w:rsidR="00C662AE" w:rsidRPr="0045472C" w:rsidRDefault="00C662AE" w:rsidP="00583120">
      <w:pPr>
        <w:spacing w:after="240"/>
        <w:rPr>
          <w:rFonts w:ascii="Arial" w:hAnsi="Arial" w:cs="Arial"/>
        </w:rPr>
      </w:pPr>
      <w:r w:rsidRPr="0045472C">
        <w:rPr>
          <w:rFonts w:ascii="Arial" w:hAnsi="Arial" w:cs="Arial"/>
        </w:rPr>
        <w:t xml:space="preserve">Once the threshold value of 1% is met, the application of a provider FTE modifier is set forth according to enrollment levels, based on the percentage of county population enrolled. Enrollment levels and corresponding multipliers are listed in </w:t>
      </w:r>
      <w:r w:rsidRPr="0045472C">
        <w:rPr>
          <w:rFonts w:ascii="Arial" w:hAnsi="Arial" w:cs="Arial"/>
          <w:b/>
        </w:rPr>
        <w:t>Table F</w:t>
      </w:r>
      <w:r w:rsidRPr="0045472C">
        <w:rPr>
          <w:rFonts w:ascii="Arial" w:hAnsi="Arial" w:cs="Arial"/>
        </w:rPr>
        <w:t>.</w:t>
      </w:r>
    </w:p>
    <w:p w14:paraId="647B953C" w14:textId="77777777" w:rsidR="00C662AE" w:rsidRPr="0045472C" w:rsidRDefault="00C662AE" w:rsidP="00466CF4">
      <w:pPr>
        <w:spacing w:after="240"/>
        <w:rPr>
          <w:rFonts w:ascii="Arial" w:hAnsi="Arial" w:cs="Arial"/>
          <w:b/>
        </w:rPr>
      </w:pPr>
      <w:r w:rsidRPr="0045472C">
        <w:rPr>
          <w:rFonts w:ascii="Arial" w:hAnsi="Arial" w:cs="Arial"/>
          <w:b/>
          <w:bCs/>
        </w:rPr>
        <w:t>The Provider FTE Modifier for High Enrollment Counties:</w:t>
      </w:r>
    </w:p>
    <w:p w14:paraId="7F252E78" w14:textId="23BFB74C" w:rsidR="00C662AE" w:rsidRPr="00286B01" w:rsidRDefault="00C662AE" w:rsidP="00466CF4">
      <w:pPr>
        <w:spacing w:after="240"/>
        <w:rPr>
          <w:rFonts w:ascii="Arial" w:hAnsi="Arial" w:cs="Arial"/>
        </w:rPr>
      </w:pPr>
      <w:r w:rsidRPr="0045472C">
        <w:rPr>
          <w:rFonts w:ascii="Arial" w:hAnsi="Arial" w:cs="Arial"/>
        </w:rPr>
        <w:t>Each enrollment level has a corresponding provider FTE modifier listed in Table F.</w:t>
      </w:r>
      <w:r w:rsidR="003C27F8">
        <w:rPr>
          <w:rFonts w:ascii="Arial" w:hAnsi="Arial" w:cs="Arial"/>
        </w:rPr>
        <w:t xml:space="preserve"> </w:t>
      </w:r>
      <w:r w:rsidRPr="0045472C">
        <w:rPr>
          <w:rFonts w:ascii="Arial" w:hAnsi="Arial" w:cs="Arial"/>
        </w:rPr>
        <w:t>To modify the FTE values in a plan’s ratio for the county using the Provider FTE Modifier for High Enrollment Counties, the DMHC will multiply the applicable value listed in Table F by the network’s summed in-person FTE values for the county</w:t>
      </w:r>
      <w:r w:rsidRPr="00423528">
        <w:rPr>
          <w:rFonts w:ascii="Arial" w:hAnsi="Arial" w:cs="Arial"/>
        </w:rPr>
        <w:t>.</w:t>
      </w:r>
      <w:r w:rsidR="00C238CC" w:rsidRPr="00423528">
        <w:rPr>
          <w:rFonts w:ascii="Arial" w:hAnsi="Arial" w:cs="Arial"/>
        </w:rPr>
        <w:t xml:space="preserve"> The multiplier is conditional on the percentage of county population enrolled with the network and the county type</w:t>
      </w:r>
      <w:r w:rsidR="00C66D99" w:rsidRPr="00423528">
        <w:rPr>
          <w:rFonts w:ascii="Arial" w:hAnsi="Arial" w:cs="Arial"/>
        </w:rPr>
        <w:t xml:space="preserve">, as set forth in the table </w:t>
      </w:r>
      <w:r w:rsidR="00F6399E" w:rsidRPr="00423528">
        <w:rPr>
          <w:rFonts w:ascii="Arial" w:hAnsi="Arial" w:cs="Arial"/>
        </w:rPr>
        <w:t>be</w:t>
      </w:r>
      <w:r w:rsidR="00C66D99" w:rsidRPr="00423528">
        <w:rPr>
          <w:rFonts w:ascii="Arial" w:hAnsi="Arial" w:cs="Arial"/>
        </w:rPr>
        <w:t>low</w:t>
      </w:r>
      <w:r w:rsidR="00C238CC" w:rsidRPr="00423528">
        <w:rPr>
          <w:rFonts w:ascii="Arial" w:hAnsi="Arial" w:cs="Arial"/>
        </w:rPr>
        <w:t>.</w:t>
      </w:r>
    </w:p>
    <w:p w14:paraId="5074A44F" w14:textId="288E402F" w:rsidR="00C662AE" w:rsidRPr="0045472C" w:rsidRDefault="00C662AE" w:rsidP="00523E39">
      <w:pPr>
        <w:spacing w:after="240"/>
        <w:rPr>
          <w:rFonts w:ascii="Arial" w:hAnsi="Arial" w:cs="Arial"/>
        </w:rPr>
      </w:pPr>
      <w:r w:rsidRPr="0045472C">
        <w:rPr>
          <w:rFonts w:ascii="Arial" w:hAnsi="Arial" w:cs="Arial"/>
        </w:rPr>
        <w:t xml:space="preserve">The total enrollment-adjusted FTE value may not exceed 80% of the full-value count of in-person </w:t>
      </w:r>
      <w:r w:rsidR="00C007F5" w:rsidRPr="0045472C">
        <w:rPr>
          <w:rFonts w:ascii="Arial" w:hAnsi="Arial" w:cs="Arial"/>
        </w:rPr>
        <w:t>C</w:t>
      </w:r>
      <w:r w:rsidRPr="0045472C">
        <w:rPr>
          <w:rFonts w:ascii="Arial" w:hAnsi="Arial" w:cs="Arial"/>
        </w:rPr>
        <w:t>ounseling MHPs in the network reported for the county.</w:t>
      </w:r>
    </w:p>
    <w:p w14:paraId="25D04823" w14:textId="77777777" w:rsidR="00C662AE" w:rsidRPr="0045472C" w:rsidRDefault="00C662AE" w:rsidP="00583120">
      <w:pPr>
        <w:spacing w:after="240"/>
        <w:jc w:val="center"/>
        <w:rPr>
          <w:rFonts w:ascii="Arial" w:hAnsi="Arial" w:cs="Arial"/>
          <w:b/>
          <w:bCs/>
        </w:rPr>
      </w:pPr>
      <w:r w:rsidRPr="0045472C">
        <w:rPr>
          <w:rFonts w:ascii="Arial" w:hAnsi="Arial" w:cs="Arial"/>
          <w:b/>
          <w:bCs/>
        </w:rPr>
        <w:t>Table F: High-Enrollment FTE Coefficients</w:t>
      </w:r>
    </w:p>
    <w:tbl>
      <w:tblPr>
        <w:tblW w:w="10345" w:type="dxa"/>
        <w:jc w:val="center"/>
        <w:tblLayout w:type="fixed"/>
        <w:tblLook w:val="04A0" w:firstRow="1" w:lastRow="0" w:firstColumn="1" w:lastColumn="0" w:noHBand="0" w:noVBand="1"/>
        <w:tblCaption w:val="Table F"/>
        <w:tblDescription w:val="Table F: High-Enrollment FTE Coefficients"/>
      </w:tblPr>
      <w:tblGrid>
        <w:gridCol w:w="4855"/>
        <w:gridCol w:w="2610"/>
        <w:gridCol w:w="2880"/>
      </w:tblGrid>
      <w:tr w:rsidR="00C2568C" w:rsidRPr="0045472C" w14:paraId="5CD76C07" w14:textId="0E101147" w:rsidTr="009E2B0B">
        <w:trPr>
          <w:trHeight w:val="1025"/>
          <w:tblHeader/>
          <w:jc w:val="center"/>
        </w:trPr>
        <w:tc>
          <w:tcPr>
            <w:tcW w:w="4855"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426C2D99" w14:textId="77777777" w:rsidR="00C2568C" w:rsidRPr="00250D6D" w:rsidRDefault="00C2568C" w:rsidP="00583120">
            <w:pPr>
              <w:jc w:val="center"/>
              <w:rPr>
                <w:rFonts w:ascii="Arial" w:hAnsi="Arial" w:cs="Arial"/>
                <w:b/>
                <w:color w:val="FFFFFF" w:themeColor="background1"/>
              </w:rPr>
            </w:pPr>
            <w:r w:rsidRPr="00250D6D">
              <w:rPr>
                <w:rFonts w:ascii="Arial" w:hAnsi="Arial" w:cs="Arial"/>
                <w:b/>
                <w:color w:val="FFFFFF" w:themeColor="background1"/>
              </w:rPr>
              <w:t>Threshold Value Enrollment Level</w:t>
            </w:r>
          </w:p>
        </w:tc>
        <w:tc>
          <w:tcPr>
            <w:tcW w:w="2610"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1EF9018B" w14:textId="5874B2CB" w:rsidR="00C519FF" w:rsidRPr="00250D6D" w:rsidRDefault="00C2568C" w:rsidP="00583120">
            <w:pPr>
              <w:spacing w:after="240"/>
              <w:jc w:val="center"/>
              <w:rPr>
                <w:rFonts w:ascii="Arial" w:hAnsi="Arial" w:cs="Arial"/>
                <w:b/>
                <w:color w:val="FFFFFF" w:themeColor="background1"/>
              </w:rPr>
            </w:pPr>
            <w:r w:rsidRPr="00250D6D">
              <w:rPr>
                <w:rFonts w:ascii="Arial" w:hAnsi="Arial" w:cs="Arial"/>
                <w:b/>
                <w:color w:val="FFFFFF" w:themeColor="background1"/>
              </w:rPr>
              <w:t>High Enrollment FTE Multiplier</w:t>
            </w:r>
          </w:p>
          <w:p w14:paraId="4B1E19FA" w14:textId="02A342A1" w:rsidR="006A6CF0" w:rsidRPr="00250D6D" w:rsidRDefault="00BE3B32" w:rsidP="00583120">
            <w:pPr>
              <w:jc w:val="center"/>
              <w:rPr>
                <w:rFonts w:ascii="Arial" w:hAnsi="Arial" w:cs="Arial"/>
                <w:b/>
                <w:color w:val="FFFFFF" w:themeColor="background1"/>
                <w:u w:val="single"/>
              </w:rPr>
            </w:pPr>
            <w:r w:rsidRPr="00250D6D">
              <w:rPr>
                <w:rFonts w:ascii="Arial" w:hAnsi="Arial" w:cs="Arial"/>
                <w:b/>
                <w:color w:val="FFFFFF" w:themeColor="background1"/>
                <w:u w:val="single"/>
              </w:rPr>
              <w:t>(</w:t>
            </w:r>
            <w:r w:rsidR="006A6CF0" w:rsidRPr="00250D6D">
              <w:rPr>
                <w:rFonts w:ascii="Arial" w:hAnsi="Arial" w:cs="Arial"/>
                <w:b/>
                <w:color w:val="FFFFFF" w:themeColor="background1"/>
                <w:u w:val="single"/>
              </w:rPr>
              <w:t>CEAC, Rural and Micro Counties</w:t>
            </w:r>
            <w:r w:rsidRPr="00250D6D">
              <w:rPr>
                <w:rFonts w:ascii="Arial" w:hAnsi="Arial" w:cs="Arial"/>
                <w:b/>
                <w:color w:val="FFFFFF" w:themeColor="background1"/>
                <w:u w:val="single"/>
              </w:rPr>
              <w:t>)</w:t>
            </w:r>
          </w:p>
        </w:tc>
        <w:tc>
          <w:tcPr>
            <w:tcW w:w="2880" w:type="dxa"/>
            <w:tcBorders>
              <w:top w:val="single" w:sz="4" w:space="0" w:color="auto"/>
              <w:left w:val="single" w:sz="4" w:space="0" w:color="auto"/>
              <w:bottom w:val="single" w:sz="4" w:space="0" w:color="auto"/>
              <w:right w:val="single" w:sz="4" w:space="0" w:color="auto"/>
            </w:tcBorders>
            <w:shd w:val="clear" w:color="auto" w:fill="035530"/>
          </w:tcPr>
          <w:p w14:paraId="569E0C09" w14:textId="0FFC02EB" w:rsidR="00C519FF" w:rsidRPr="00250D6D" w:rsidRDefault="00340C83" w:rsidP="00583120">
            <w:pPr>
              <w:spacing w:after="240"/>
              <w:jc w:val="center"/>
              <w:rPr>
                <w:rFonts w:ascii="Arial" w:hAnsi="Arial" w:cs="Arial"/>
                <w:b/>
                <w:color w:val="FFFFFF" w:themeColor="background1"/>
                <w:u w:val="single"/>
              </w:rPr>
            </w:pPr>
            <w:r w:rsidRPr="00250D6D">
              <w:rPr>
                <w:rFonts w:ascii="Arial" w:hAnsi="Arial" w:cs="Arial"/>
                <w:b/>
                <w:color w:val="FFFFFF" w:themeColor="background1"/>
              </w:rPr>
              <w:t xml:space="preserve">High Enrollment </w:t>
            </w:r>
            <w:r w:rsidR="009E7829" w:rsidRPr="00250D6D">
              <w:rPr>
                <w:rFonts w:ascii="Arial" w:hAnsi="Arial" w:cs="Arial"/>
                <w:b/>
                <w:color w:val="FFFFFF" w:themeColor="background1"/>
                <w:u w:val="single"/>
              </w:rPr>
              <w:t xml:space="preserve">FTE </w:t>
            </w:r>
            <w:r w:rsidRPr="00250D6D">
              <w:rPr>
                <w:rFonts w:ascii="Arial" w:hAnsi="Arial" w:cs="Arial"/>
                <w:b/>
                <w:color w:val="FFFFFF" w:themeColor="background1"/>
              </w:rPr>
              <w:t>Multiplier</w:t>
            </w:r>
          </w:p>
          <w:p w14:paraId="1973902F" w14:textId="48685BE9" w:rsidR="00C2568C" w:rsidRPr="00250D6D" w:rsidRDefault="00BE3B32" w:rsidP="00583120">
            <w:pPr>
              <w:jc w:val="center"/>
              <w:rPr>
                <w:rFonts w:ascii="Arial" w:hAnsi="Arial" w:cs="Arial"/>
                <w:b/>
                <w:color w:val="FFFFFF" w:themeColor="background1"/>
              </w:rPr>
            </w:pPr>
            <w:r w:rsidRPr="00250D6D">
              <w:rPr>
                <w:rFonts w:ascii="Arial" w:hAnsi="Arial" w:cs="Arial"/>
                <w:b/>
                <w:color w:val="FFFFFF" w:themeColor="background1"/>
                <w:u w:val="single"/>
              </w:rPr>
              <w:t>(</w:t>
            </w:r>
            <w:r w:rsidR="00340C83" w:rsidRPr="00250D6D">
              <w:rPr>
                <w:rFonts w:ascii="Arial" w:hAnsi="Arial" w:cs="Arial"/>
                <w:b/>
                <w:color w:val="FFFFFF" w:themeColor="background1"/>
              </w:rPr>
              <w:t xml:space="preserve">Large </w:t>
            </w:r>
            <w:r w:rsidR="00011CD9" w:rsidRPr="00250D6D">
              <w:rPr>
                <w:rFonts w:ascii="Arial" w:hAnsi="Arial" w:cs="Arial"/>
                <w:b/>
                <w:color w:val="FFFFFF" w:themeColor="background1"/>
              </w:rPr>
              <w:t>Metro</w:t>
            </w:r>
            <w:r w:rsidR="00340C83" w:rsidRPr="00250D6D">
              <w:rPr>
                <w:rFonts w:ascii="Arial" w:hAnsi="Arial" w:cs="Arial"/>
                <w:b/>
                <w:color w:val="FFFFFF" w:themeColor="background1"/>
              </w:rPr>
              <w:t xml:space="preserve"> and Metro Counties</w:t>
            </w:r>
            <w:r w:rsidRPr="00250D6D">
              <w:rPr>
                <w:rFonts w:ascii="Arial" w:hAnsi="Arial" w:cs="Arial"/>
                <w:b/>
                <w:color w:val="FFFFFF" w:themeColor="background1"/>
                <w:u w:val="single"/>
              </w:rPr>
              <w:t>)</w:t>
            </w:r>
          </w:p>
        </w:tc>
      </w:tr>
      <w:tr w:rsidR="00C2568C" w:rsidRPr="0045472C" w14:paraId="3C6FE123" w14:textId="62098930" w:rsidTr="009E2B0B">
        <w:trPr>
          <w:trHeight w:val="593"/>
          <w:jc w:val="center"/>
        </w:trPr>
        <w:tc>
          <w:tcPr>
            <w:tcW w:w="48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582B13" w14:textId="77777777" w:rsidR="00C2568C" w:rsidRPr="00E930A7" w:rsidRDefault="00C2568C" w:rsidP="00583120">
            <w:pPr>
              <w:jc w:val="center"/>
              <w:rPr>
                <w:rFonts w:ascii="Arial" w:hAnsi="Arial" w:cs="Arial"/>
                <w:b/>
              </w:rPr>
            </w:pPr>
            <w:r w:rsidRPr="00E930A7">
              <w:rPr>
                <w:rFonts w:ascii="Arial" w:hAnsi="Arial" w:cs="Arial"/>
                <w:b/>
              </w:rPr>
              <w:t>Level 1:</w:t>
            </w:r>
            <w:r w:rsidRPr="00E930A7">
              <w:rPr>
                <w:rFonts w:ascii="Arial" w:hAnsi="Arial" w:cs="Arial"/>
              </w:rPr>
              <w:t xml:space="preserve"> The percent (%) of county population enrolled is below 1%</w:t>
            </w:r>
          </w:p>
        </w:tc>
        <w:tc>
          <w:tcPr>
            <w:tcW w:w="26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794C47" w14:textId="77777777" w:rsidR="00C2568C" w:rsidRPr="00E930A7" w:rsidRDefault="00C2568C" w:rsidP="00583120">
            <w:pPr>
              <w:jc w:val="center"/>
              <w:rPr>
                <w:rFonts w:ascii="Arial" w:hAnsi="Arial" w:cs="Arial"/>
              </w:rPr>
            </w:pPr>
            <w:r w:rsidRPr="00E930A7">
              <w:rPr>
                <w:rFonts w:ascii="Arial" w:hAnsi="Arial" w:cs="Arial"/>
              </w:rPr>
              <w:t>No multiplier</w:t>
            </w:r>
          </w:p>
        </w:tc>
        <w:tc>
          <w:tcPr>
            <w:tcW w:w="2880" w:type="dxa"/>
            <w:tcBorders>
              <w:top w:val="single" w:sz="4" w:space="0" w:color="auto"/>
              <w:left w:val="single" w:sz="4" w:space="0" w:color="auto"/>
              <w:bottom w:val="single" w:sz="4" w:space="0" w:color="auto"/>
              <w:right w:val="single" w:sz="4" w:space="0" w:color="auto"/>
            </w:tcBorders>
            <w:vAlign w:val="center"/>
          </w:tcPr>
          <w:p w14:paraId="22E0DD34" w14:textId="44B1CEE1" w:rsidR="00340C83" w:rsidRPr="00423528" w:rsidRDefault="00340C83" w:rsidP="00583120">
            <w:pPr>
              <w:jc w:val="center"/>
              <w:rPr>
                <w:rFonts w:ascii="Arial" w:hAnsi="Arial" w:cs="Arial"/>
              </w:rPr>
            </w:pPr>
            <w:r w:rsidRPr="00423528">
              <w:rPr>
                <w:rFonts w:ascii="Arial" w:hAnsi="Arial" w:cs="Arial"/>
              </w:rPr>
              <w:t>No multiplier</w:t>
            </w:r>
          </w:p>
        </w:tc>
      </w:tr>
      <w:tr w:rsidR="00C2568C" w:rsidRPr="0045472C" w14:paraId="1A2612E2" w14:textId="67969B04" w:rsidTr="009E2B0B">
        <w:trPr>
          <w:trHeight w:val="620"/>
          <w:jc w:val="center"/>
        </w:trPr>
        <w:tc>
          <w:tcPr>
            <w:tcW w:w="48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1CCF09" w14:textId="77777777" w:rsidR="00C2568C" w:rsidRPr="00E930A7" w:rsidRDefault="00C2568C" w:rsidP="00583120">
            <w:pPr>
              <w:jc w:val="center"/>
              <w:rPr>
                <w:rFonts w:ascii="Arial" w:hAnsi="Arial" w:cs="Arial"/>
              </w:rPr>
            </w:pPr>
            <w:r w:rsidRPr="00E930A7">
              <w:rPr>
                <w:rFonts w:ascii="Arial" w:hAnsi="Arial" w:cs="Arial"/>
                <w:b/>
              </w:rPr>
              <w:t>Level 2:</w:t>
            </w:r>
            <w:r w:rsidRPr="00E930A7">
              <w:rPr>
                <w:rFonts w:ascii="Arial" w:hAnsi="Arial" w:cs="Arial"/>
              </w:rPr>
              <w:t xml:space="preserve"> The percent (%) of county population enrolled is from 1% to &lt;2.5%</w:t>
            </w:r>
          </w:p>
        </w:tc>
        <w:tc>
          <w:tcPr>
            <w:tcW w:w="26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3F6583" w14:textId="77777777" w:rsidR="00C2568C" w:rsidRPr="00423528" w:rsidRDefault="00C2568C" w:rsidP="00583120">
            <w:pPr>
              <w:jc w:val="center"/>
              <w:rPr>
                <w:rFonts w:ascii="Arial" w:hAnsi="Arial" w:cs="Arial"/>
              </w:rPr>
            </w:pPr>
            <w:r w:rsidRPr="00423528">
              <w:rPr>
                <w:rFonts w:ascii="Arial" w:hAnsi="Arial" w:cs="Arial"/>
              </w:rPr>
              <w:t>1.5</w:t>
            </w:r>
          </w:p>
        </w:tc>
        <w:tc>
          <w:tcPr>
            <w:tcW w:w="2880" w:type="dxa"/>
            <w:tcBorders>
              <w:top w:val="single" w:sz="4" w:space="0" w:color="auto"/>
              <w:left w:val="single" w:sz="4" w:space="0" w:color="auto"/>
              <w:bottom w:val="single" w:sz="4" w:space="0" w:color="auto"/>
              <w:right w:val="single" w:sz="4" w:space="0" w:color="auto"/>
            </w:tcBorders>
            <w:vAlign w:val="center"/>
          </w:tcPr>
          <w:p w14:paraId="17C5E0B7" w14:textId="24F0DBC1" w:rsidR="00340C83" w:rsidRPr="00423528" w:rsidRDefault="00340C83" w:rsidP="00583120">
            <w:pPr>
              <w:jc w:val="center"/>
              <w:rPr>
                <w:rFonts w:ascii="Arial" w:hAnsi="Arial" w:cs="Arial"/>
              </w:rPr>
            </w:pPr>
            <w:r w:rsidRPr="00423528">
              <w:rPr>
                <w:rFonts w:ascii="Arial" w:hAnsi="Arial" w:cs="Arial"/>
              </w:rPr>
              <w:t>2</w:t>
            </w:r>
          </w:p>
        </w:tc>
      </w:tr>
      <w:tr w:rsidR="00C2568C" w:rsidRPr="0045472C" w14:paraId="0DA5349C" w14:textId="2FACD164" w:rsidTr="009E2B0B">
        <w:trPr>
          <w:trHeight w:val="620"/>
          <w:jc w:val="center"/>
        </w:trPr>
        <w:tc>
          <w:tcPr>
            <w:tcW w:w="48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AF15BC" w14:textId="77777777" w:rsidR="00C2568C" w:rsidRPr="00E930A7" w:rsidRDefault="00C2568C" w:rsidP="00583120">
            <w:pPr>
              <w:jc w:val="center"/>
              <w:rPr>
                <w:rFonts w:ascii="Arial" w:hAnsi="Arial" w:cs="Arial"/>
              </w:rPr>
            </w:pPr>
            <w:r w:rsidRPr="00E930A7">
              <w:rPr>
                <w:rFonts w:ascii="Arial" w:hAnsi="Arial" w:cs="Arial"/>
                <w:b/>
              </w:rPr>
              <w:t>Level 3:</w:t>
            </w:r>
            <w:r w:rsidRPr="00E930A7">
              <w:rPr>
                <w:rFonts w:ascii="Arial" w:hAnsi="Arial" w:cs="Arial"/>
              </w:rPr>
              <w:t xml:space="preserve"> The percent (%) of county population enrolled is from 2.5% to &lt; 7.5%</w:t>
            </w:r>
          </w:p>
        </w:tc>
        <w:tc>
          <w:tcPr>
            <w:tcW w:w="26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E19886" w14:textId="77777777" w:rsidR="00C2568C" w:rsidRPr="00423528" w:rsidRDefault="00C2568C" w:rsidP="00583120">
            <w:pPr>
              <w:jc w:val="center"/>
              <w:rPr>
                <w:rFonts w:ascii="Arial" w:hAnsi="Arial" w:cs="Arial"/>
              </w:rPr>
            </w:pPr>
            <w:r w:rsidRPr="00423528">
              <w:rPr>
                <w:rFonts w:ascii="Arial" w:hAnsi="Arial" w:cs="Arial"/>
              </w:rPr>
              <w:t>3</w:t>
            </w:r>
          </w:p>
        </w:tc>
        <w:tc>
          <w:tcPr>
            <w:tcW w:w="2880" w:type="dxa"/>
            <w:tcBorders>
              <w:top w:val="single" w:sz="4" w:space="0" w:color="auto"/>
              <w:left w:val="single" w:sz="4" w:space="0" w:color="auto"/>
              <w:bottom w:val="single" w:sz="4" w:space="0" w:color="auto"/>
              <w:right w:val="single" w:sz="4" w:space="0" w:color="auto"/>
            </w:tcBorders>
            <w:vAlign w:val="center"/>
          </w:tcPr>
          <w:p w14:paraId="13E9AABE" w14:textId="472B3050" w:rsidR="00340C83" w:rsidRPr="00423528" w:rsidRDefault="00340C83" w:rsidP="00583120">
            <w:pPr>
              <w:jc w:val="center"/>
              <w:rPr>
                <w:rFonts w:ascii="Arial" w:hAnsi="Arial" w:cs="Arial"/>
              </w:rPr>
            </w:pPr>
            <w:r w:rsidRPr="00423528">
              <w:rPr>
                <w:rFonts w:ascii="Arial" w:hAnsi="Arial" w:cs="Arial"/>
              </w:rPr>
              <w:t>4</w:t>
            </w:r>
          </w:p>
        </w:tc>
      </w:tr>
      <w:tr w:rsidR="00C2568C" w:rsidRPr="0045472C" w14:paraId="766F3435" w14:textId="077A8158" w:rsidTr="009E2B0B">
        <w:trPr>
          <w:trHeight w:val="800"/>
          <w:jc w:val="center"/>
        </w:trPr>
        <w:tc>
          <w:tcPr>
            <w:tcW w:w="48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DFF5C1" w14:textId="505517F7" w:rsidR="00C2568C" w:rsidRPr="00250D6D" w:rsidRDefault="00C2568C" w:rsidP="00583120">
            <w:pPr>
              <w:spacing w:before="120"/>
              <w:jc w:val="center"/>
              <w:rPr>
                <w:rFonts w:ascii="Arial" w:hAnsi="Arial" w:cs="Arial"/>
              </w:rPr>
            </w:pPr>
            <w:r w:rsidRPr="00250D6D">
              <w:rPr>
                <w:rFonts w:ascii="Arial" w:hAnsi="Arial" w:cs="Arial"/>
                <w:b/>
              </w:rPr>
              <w:t>Level 4</w:t>
            </w:r>
            <w:r w:rsidRPr="00250D6D">
              <w:rPr>
                <w:rFonts w:ascii="Arial" w:hAnsi="Arial" w:cs="Arial"/>
              </w:rPr>
              <w:t xml:space="preserve">: The percent (%) of county population enrolled is </w:t>
            </w:r>
            <w:r w:rsidR="0053086B" w:rsidRPr="00250D6D">
              <w:rPr>
                <w:rFonts w:ascii="Arial" w:hAnsi="Arial" w:cs="Arial"/>
                <w:u w:val="single"/>
              </w:rPr>
              <w:t>from</w:t>
            </w:r>
            <w:r w:rsidR="0053086B" w:rsidRPr="00250D6D">
              <w:rPr>
                <w:rFonts w:ascii="Arial" w:hAnsi="Arial" w:cs="Arial"/>
              </w:rPr>
              <w:t xml:space="preserve"> </w:t>
            </w:r>
            <w:r w:rsidRPr="00250D6D">
              <w:rPr>
                <w:rFonts w:ascii="Arial" w:hAnsi="Arial" w:cs="Arial"/>
                <w:strike/>
              </w:rPr>
              <w:t>&gt;</w:t>
            </w:r>
            <w:r w:rsidRPr="00250D6D">
              <w:rPr>
                <w:rFonts w:ascii="Arial" w:hAnsi="Arial" w:cs="Arial"/>
              </w:rPr>
              <w:t xml:space="preserve"> 7.5% to &lt; 17.5%</w:t>
            </w:r>
          </w:p>
        </w:tc>
        <w:tc>
          <w:tcPr>
            <w:tcW w:w="26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BE39F9D" w14:textId="77777777" w:rsidR="00C2568C" w:rsidRPr="00250D6D" w:rsidRDefault="00C2568C" w:rsidP="00583120">
            <w:pPr>
              <w:jc w:val="center"/>
              <w:rPr>
                <w:rFonts w:ascii="Arial" w:hAnsi="Arial" w:cs="Arial"/>
              </w:rPr>
            </w:pPr>
            <w:r w:rsidRPr="00250D6D">
              <w:rPr>
                <w:rFonts w:ascii="Arial" w:hAnsi="Arial" w:cs="Arial"/>
              </w:rPr>
              <w:t>4</w:t>
            </w:r>
          </w:p>
        </w:tc>
        <w:tc>
          <w:tcPr>
            <w:tcW w:w="2880" w:type="dxa"/>
            <w:tcBorders>
              <w:top w:val="single" w:sz="4" w:space="0" w:color="auto"/>
              <w:left w:val="single" w:sz="4" w:space="0" w:color="auto"/>
              <w:bottom w:val="single" w:sz="4" w:space="0" w:color="auto"/>
              <w:right w:val="single" w:sz="4" w:space="0" w:color="auto"/>
            </w:tcBorders>
            <w:vAlign w:val="center"/>
          </w:tcPr>
          <w:p w14:paraId="01C0AF84" w14:textId="5EE9458D" w:rsidR="00340C83" w:rsidRPr="00250D6D" w:rsidRDefault="00B334E5" w:rsidP="00583120">
            <w:pPr>
              <w:jc w:val="center"/>
              <w:rPr>
                <w:rFonts w:ascii="Arial" w:hAnsi="Arial" w:cs="Arial"/>
              </w:rPr>
            </w:pPr>
            <w:r w:rsidRPr="00250D6D">
              <w:rPr>
                <w:rFonts w:ascii="Arial" w:hAnsi="Arial" w:cs="Arial"/>
              </w:rPr>
              <w:t>5.5</w:t>
            </w:r>
          </w:p>
        </w:tc>
      </w:tr>
      <w:tr w:rsidR="00C2568C" w:rsidRPr="0045472C" w14:paraId="1EE01DE0" w14:textId="01E15702" w:rsidTr="006A205E">
        <w:trPr>
          <w:trHeight w:val="800"/>
          <w:jc w:val="center"/>
        </w:trPr>
        <w:tc>
          <w:tcPr>
            <w:tcW w:w="485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242D3C" w14:textId="060E8070" w:rsidR="00C2568C" w:rsidRPr="00250D6D" w:rsidRDefault="00C2568C" w:rsidP="00583120">
            <w:pPr>
              <w:jc w:val="center"/>
            </w:pPr>
            <w:r w:rsidRPr="00250D6D">
              <w:rPr>
                <w:rFonts w:ascii="Arial" w:hAnsi="Arial" w:cs="Arial"/>
                <w:b/>
              </w:rPr>
              <w:lastRenderedPageBreak/>
              <w:t>Level 5</w:t>
            </w:r>
            <w:r w:rsidRPr="00250D6D">
              <w:rPr>
                <w:rFonts w:ascii="Arial" w:hAnsi="Arial" w:cs="Arial"/>
              </w:rPr>
              <w:t>: The percent (%) of county population enrolled is</w:t>
            </w:r>
            <w:r w:rsidR="005E6435" w:rsidRPr="00250D6D">
              <w:rPr>
                <w:rFonts w:ascii="Arial" w:hAnsi="Arial" w:cs="Arial"/>
              </w:rPr>
              <w:t xml:space="preserve"> </w:t>
            </w:r>
            <w:r w:rsidR="005E6435" w:rsidRPr="00250D6D">
              <w:rPr>
                <w:rFonts w:ascii="Arial" w:hAnsi="Arial" w:cs="Arial"/>
                <w:u w:val="single"/>
              </w:rPr>
              <w:t>≥</w:t>
            </w:r>
            <w:r w:rsidRPr="00250D6D">
              <w:rPr>
                <w:rFonts w:ascii="Arial" w:hAnsi="Arial" w:cs="Arial"/>
              </w:rPr>
              <w:t xml:space="preserve"> </w:t>
            </w:r>
            <w:r w:rsidRPr="00250D6D">
              <w:rPr>
                <w:rFonts w:ascii="Arial" w:hAnsi="Arial" w:cs="Arial"/>
                <w:strike/>
              </w:rPr>
              <w:t>&gt;</w:t>
            </w:r>
            <w:r w:rsidRPr="00250D6D">
              <w:rPr>
                <w:rFonts w:ascii="Arial" w:hAnsi="Arial" w:cs="Arial"/>
              </w:rPr>
              <w:t xml:space="preserve"> 17.5%</w:t>
            </w:r>
          </w:p>
        </w:tc>
        <w:tc>
          <w:tcPr>
            <w:tcW w:w="261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E84D09" w14:textId="3D4994CB" w:rsidR="00C2568C" w:rsidRPr="00250D6D" w:rsidRDefault="00C2568C" w:rsidP="00583120">
            <w:pPr>
              <w:jc w:val="center"/>
              <w:rPr>
                <w:rFonts w:ascii="Arial" w:hAnsi="Arial" w:cs="Arial"/>
              </w:rPr>
            </w:pPr>
            <w:r w:rsidRPr="00250D6D">
              <w:rPr>
                <w:rFonts w:ascii="Arial" w:hAnsi="Arial" w:cs="Arial"/>
              </w:rPr>
              <w:t>5</w:t>
            </w:r>
          </w:p>
        </w:tc>
        <w:tc>
          <w:tcPr>
            <w:tcW w:w="2880" w:type="dxa"/>
            <w:tcBorders>
              <w:top w:val="single" w:sz="4" w:space="0" w:color="auto"/>
              <w:left w:val="single" w:sz="4" w:space="0" w:color="auto"/>
              <w:bottom w:val="single" w:sz="4" w:space="0" w:color="auto"/>
              <w:right w:val="single" w:sz="4" w:space="0" w:color="auto"/>
            </w:tcBorders>
            <w:vAlign w:val="center"/>
          </w:tcPr>
          <w:p w14:paraId="3CD3A0BF" w14:textId="5B5529B3" w:rsidR="00B334E5" w:rsidRPr="00250D6D" w:rsidRDefault="00B334E5" w:rsidP="00583120">
            <w:pPr>
              <w:jc w:val="center"/>
              <w:rPr>
                <w:rFonts w:ascii="Arial" w:hAnsi="Arial" w:cs="Arial"/>
              </w:rPr>
            </w:pPr>
            <w:r w:rsidRPr="00250D6D">
              <w:rPr>
                <w:rFonts w:ascii="Arial" w:hAnsi="Arial" w:cs="Arial"/>
              </w:rPr>
              <w:t>7</w:t>
            </w:r>
          </w:p>
        </w:tc>
      </w:tr>
    </w:tbl>
    <w:p w14:paraId="2332BDDB" w14:textId="5208BDCC" w:rsidR="00C662AE" w:rsidRPr="0045472C" w:rsidRDefault="00C662AE" w:rsidP="00523E39">
      <w:pPr>
        <w:spacing w:before="240" w:after="240"/>
        <w:rPr>
          <w:rFonts w:ascii="Arial" w:hAnsi="Arial" w:cs="Arial"/>
          <w:b/>
        </w:rPr>
      </w:pPr>
      <w:r w:rsidRPr="0045472C">
        <w:rPr>
          <w:rFonts w:ascii="Arial" w:hAnsi="Arial" w:cs="Arial"/>
          <w:b/>
          <w:bCs/>
        </w:rPr>
        <w:t>Example</w:t>
      </w:r>
      <w:r w:rsidR="003506A6">
        <w:rPr>
          <w:rFonts w:ascii="Arial" w:hAnsi="Arial" w:cs="Arial"/>
          <w:b/>
          <w:bCs/>
        </w:rPr>
        <w:t xml:space="preserve"> </w:t>
      </w:r>
      <w:r w:rsidR="003506A6" w:rsidRPr="005B2E04">
        <w:rPr>
          <w:rFonts w:ascii="Arial" w:hAnsi="Arial" w:cs="Arial"/>
          <w:b/>
          <w:bCs/>
          <w:u w:val="single"/>
        </w:rPr>
        <w:t>4:</w:t>
      </w:r>
    </w:p>
    <w:p w14:paraId="6CAA43E9" w14:textId="77777777" w:rsidR="00C662AE" w:rsidRPr="00EE31F7" w:rsidRDefault="00C662AE" w:rsidP="00523E39">
      <w:pPr>
        <w:spacing w:after="240"/>
        <w:rPr>
          <w:rFonts w:ascii="Arial" w:hAnsi="Arial" w:cs="Arial"/>
        </w:rPr>
      </w:pPr>
      <w:r w:rsidRPr="00EE31F7">
        <w:rPr>
          <w:rFonts w:ascii="Arial" w:hAnsi="Arial" w:cs="Arial"/>
          <w:b/>
          <w:bCs/>
        </w:rPr>
        <w:t>Table G</w:t>
      </w:r>
      <w:r w:rsidRPr="00EE31F7">
        <w:rPr>
          <w:rFonts w:ascii="Arial" w:hAnsi="Arial" w:cs="Arial"/>
        </w:rPr>
        <w:t xml:space="preserve"> provides an example of the Provider FTE Modifier for High Enrollment Counties applied to the hypothetical Shasta network, which is also depicted in the example tables within Schedules A, A-1 and A-2.</w:t>
      </w:r>
    </w:p>
    <w:p w14:paraId="5AFC3B2D" w14:textId="2200A31D" w:rsidR="00C662AE" w:rsidRPr="00EE31F7" w:rsidRDefault="00C662AE" w:rsidP="00523E39">
      <w:pPr>
        <w:spacing w:after="240"/>
        <w:rPr>
          <w:rFonts w:ascii="Arial" w:hAnsi="Arial" w:cs="Arial"/>
          <w:strike/>
        </w:rPr>
      </w:pPr>
      <w:r w:rsidRPr="00EE31F7">
        <w:rPr>
          <w:rFonts w:ascii="Arial" w:hAnsi="Arial" w:cs="Arial"/>
        </w:rPr>
        <w:t xml:space="preserve">With a total county population of 187,189, and network enrollment at 3,000, the network enrolls 1.6% of the county population. The network is in </w:t>
      </w:r>
      <w:r w:rsidRPr="00EE31F7">
        <w:rPr>
          <w:rFonts w:ascii="Arial" w:hAnsi="Arial" w:cs="Arial"/>
          <w:strike/>
        </w:rPr>
        <w:t xml:space="preserve">level </w:t>
      </w:r>
      <w:r w:rsidR="00B8346E" w:rsidRPr="00EE31F7">
        <w:rPr>
          <w:rFonts w:ascii="Arial" w:hAnsi="Arial" w:cs="Arial"/>
          <w:u w:val="single"/>
        </w:rPr>
        <w:t xml:space="preserve">Level </w:t>
      </w:r>
      <w:r w:rsidRPr="00EE31F7">
        <w:rPr>
          <w:rFonts w:ascii="Arial" w:hAnsi="Arial" w:cs="Arial"/>
        </w:rPr>
        <w:t xml:space="preserve">2 for the county and will receive a high-enrollment </w:t>
      </w:r>
      <w:r w:rsidR="00E679B2" w:rsidRPr="00EE31F7">
        <w:rPr>
          <w:rFonts w:ascii="Arial" w:hAnsi="Arial" w:cs="Arial"/>
          <w:u w:val="single"/>
        </w:rPr>
        <w:t xml:space="preserve">FTE </w:t>
      </w:r>
      <w:r w:rsidRPr="00EE31F7">
        <w:rPr>
          <w:rFonts w:ascii="Arial" w:hAnsi="Arial" w:cs="Arial"/>
        </w:rPr>
        <w:t xml:space="preserve">multiplier of 1.5, which is multiplied by the total county FTE value of 2.41 derived in Schedule A, Table B (which includes the EP FTE adjustment derived in Schedule A-2, Table E). </w:t>
      </w:r>
      <w:r w:rsidR="000F645A" w:rsidRPr="00EE31F7">
        <w:rPr>
          <w:rFonts w:ascii="Arial" w:hAnsi="Arial" w:cs="Arial"/>
          <w:u w:val="single"/>
        </w:rPr>
        <w:t>After confirming that the total FTE for in-person providers does not exceed 80% of the full-value count of providers, the telehealth ratio modifier is then multiplied by the high enrollment modifier and added to the in-person FTE to reach the total FTE</w:t>
      </w:r>
      <w:r w:rsidR="0020393C" w:rsidRPr="00EE31F7">
        <w:rPr>
          <w:rFonts w:ascii="Arial" w:hAnsi="Arial" w:cs="Arial"/>
          <w:u w:val="single"/>
        </w:rPr>
        <w:t xml:space="preserve">. </w:t>
      </w:r>
      <w:r w:rsidRPr="00EE31F7">
        <w:rPr>
          <w:rFonts w:ascii="Arial" w:hAnsi="Arial" w:cs="Arial"/>
        </w:rPr>
        <w:t>With</w:t>
      </w:r>
      <w:r w:rsidRPr="00EE31F7" w:rsidDel="002127EF">
        <w:rPr>
          <w:rFonts w:ascii="Arial" w:hAnsi="Arial" w:cs="Arial"/>
        </w:rPr>
        <w:t xml:space="preserve"> </w:t>
      </w:r>
      <w:r w:rsidRPr="00EE31F7">
        <w:rPr>
          <w:rFonts w:ascii="Arial" w:hAnsi="Arial" w:cs="Arial"/>
        </w:rPr>
        <w:t xml:space="preserve">the high-enrollment </w:t>
      </w:r>
      <w:r w:rsidR="004445E8" w:rsidRPr="00EE31F7">
        <w:rPr>
          <w:rFonts w:ascii="Arial" w:hAnsi="Arial" w:cs="Arial"/>
          <w:u w:val="single"/>
        </w:rPr>
        <w:t xml:space="preserve">FTE </w:t>
      </w:r>
      <w:r w:rsidRPr="00EE31F7">
        <w:rPr>
          <w:rFonts w:ascii="Arial" w:hAnsi="Arial" w:cs="Arial"/>
        </w:rPr>
        <w:t xml:space="preserve">multiplier, the network receives a total in-person FTE value of 3.62, </w:t>
      </w:r>
      <w:r w:rsidRPr="00EE31F7">
        <w:rPr>
          <w:rFonts w:ascii="Arial" w:hAnsi="Arial" w:cs="Arial"/>
          <w:strike/>
        </w:rPr>
        <w:t>which is added to the</w:t>
      </w:r>
      <w:r w:rsidRPr="00EE31F7">
        <w:rPr>
          <w:rFonts w:ascii="Arial" w:hAnsi="Arial" w:cs="Arial"/>
          <w:u w:val="single"/>
        </w:rPr>
        <w:t xml:space="preserve"> </w:t>
      </w:r>
      <w:r w:rsidR="00CE72D8" w:rsidRPr="00EE31F7">
        <w:rPr>
          <w:rFonts w:ascii="Arial" w:hAnsi="Arial" w:cs="Arial"/>
          <w:u w:val="single"/>
        </w:rPr>
        <w:t>and a</w:t>
      </w:r>
      <w:r w:rsidR="00EB5ED4" w:rsidRPr="00EE31F7">
        <w:rPr>
          <w:rFonts w:ascii="Arial" w:hAnsi="Arial" w:cs="Arial"/>
          <w:u w:val="single"/>
        </w:rPr>
        <w:t xml:space="preserve"> high enrollment adjusted</w:t>
      </w:r>
      <w:r w:rsidR="00CE72D8" w:rsidRPr="00EE31F7">
        <w:rPr>
          <w:rFonts w:ascii="Arial" w:hAnsi="Arial" w:cs="Arial"/>
          <w:u w:val="single"/>
        </w:rPr>
        <w:t xml:space="preserve"> </w:t>
      </w:r>
      <w:r w:rsidRPr="00EE31F7">
        <w:rPr>
          <w:rFonts w:ascii="Arial" w:hAnsi="Arial" w:cs="Arial"/>
        </w:rPr>
        <w:t>telehealth ratio modifier of</w:t>
      </w:r>
      <w:r w:rsidRPr="00EE31F7">
        <w:rPr>
          <w:rFonts w:ascii="Arial" w:hAnsi="Arial" w:cs="Arial"/>
          <w:u w:val="single"/>
        </w:rPr>
        <w:t xml:space="preserve"> 0.</w:t>
      </w:r>
      <w:r w:rsidR="009E72BF" w:rsidRPr="00EE31F7">
        <w:rPr>
          <w:rFonts w:ascii="Arial" w:hAnsi="Arial" w:cs="Arial"/>
          <w:u w:val="single"/>
        </w:rPr>
        <w:t>1275</w:t>
      </w:r>
      <w:r w:rsidRPr="00EE31F7">
        <w:rPr>
          <w:rFonts w:ascii="Arial" w:hAnsi="Arial" w:cs="Arial"/>
          <w:strike/>
        </w:rPr>
        <w:t xml:space="preserve"> 0.085</w:t>
      </w:r>
      <w:r w:rsidRPr="00EE31F7">
        <w:rPr>
          <w:rFonts w:ascii="Arial" w:hAnsi="Arial" w:cs="Arial"/>
        </w:rPr>
        <w:t xml:space="preserve">, producing a ratio of one FTE </w:t>
      </w:r>
      <w:r w:rsidR="00C007F5" w:rsidRPr="00EE31F7">
        <w:rPr>
          <w:rFonts w:ascii="Arial" w:hAnsi="Arial" w:cs="Arial"/>
        </w:rPr>
        <w:t>C</w:t>
      </w:r>
      <w:r w:rsidRPr="00EE31F7">
        <w:rPr>
          <w:rFonts w:ascii="Arial" w:hAnsi="Arial" w:cs="Arial"/>
        </w:rPr>
        <w:t xml:space="preserve">ounseling MHP per </w:t>
      </w:r>
      <w:r w:rsidR="00C25B5A" w:rsidRPr="00EE31F7">
        <w:rPr>
          <w:rFonts w:ascii="Arial" w:hAnsi="Arial" w:cs="Arial"/>
          <w:strike/>
        </w:rPr>
        <w:t xml:space="preserve">811 </w:t>
      </w:r>
      <w:r w:rsidRPr="00EE31F7">
        <w:rPr>
          <w:rFonts w:ascii="Arial" w:hAnsi="Arial" w:cs="Arial"/>
          <w:u w:val="single"/>
        </w:rPr>
        <w:t>8</w:t>
      </w:r>
      <w:r w:rsidR="00BB356A" w:rsidRPr="00EE31F7">
        <w:rPr>
          <w:rFonts w:ascii="Arial" w:hAnsi="Arial" w:cs="Arial"/>
          <w:u w:val="single"/>
        </w:rPr>
        <w:t>0</w:t>
      </w:r>
      <w:r w:rsidRPr="00EE31F7">
        <w:rPr>
          <w:rFonts w:ascii="Arial" w:hAnsi="Arial" w:cs="Arial"/>
          <w:u w:val="single"/>
        </w:rPr>
        <w:t xml:space="preserve">1 </w:t>
      </w:r>
      <w:r w:rsidRPr="00EE31F7">
        <w:rPr>
          <w:rFonts w:ascii="Arial" w:hAnsi="Arial" w:cs="Arial"/>
        </w:rPr>
        <w:t xml:space="preserve">enrollees. </w:t>
      </w:r>
      <w:r w:rsidRPr="00EE31F7">
        <w:rPr>
          <w:rFonts w:ascii="Arial" w:hAnsi="Arial" w:cs="Arial"/>
          <w:strike/>
        </w:rPr>
        <w:t>(Note the telehealth ratio modifier not impacted by the high-enrollment adjustment).</w:t>
      </w:r>
    </w:p>
    <w:p w14:paraId="19771F2B" w14:textId="77777777" w:rsidR="00C662AE" w:rsidRPr="00EE31F7" w:rsidRDefault="00C662AE" w:rsidP="00523E39">
      <w:pPr>
        <w:spacing w:after="240"/>
        <w:jc w:val="center"/>
        <w:rPr>
          <w:rFonts w:ascii="Arial" w:hAnsi="Arial" w:cs="Arial"/>
          <w:b/>
          <w:bCs/>
        </w:rPr>
      </w:pPr>
      <w:r w:rsidRPr="00EE31F7">
        <w:rPr>
          <w:rFonts w:ascii="Arial" w:hAnsi="Arial" w:cs="Arial"/>
          <w:b/>
          <w:bCs/>
        </w:rPr>
        <w:t>Table G: Example Shasta County Capacity with High Enrollment Network*</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G"/>
        <w:tblDescription w:val="Table G: Example Shasta County Capacity with High Enrollment Network*"/>
      </w:tblPr>
      <w:tblGrid>
        <w:gridCol w:w="4320"/>
        <w:gridCol w:w="4320"/>
      </w:tblGrid>
      <w:tr w:rsidR="0070781A" w:rsidRPr="0045472C" w14:paraId="56A57156" w14:textId="77777777" w:rsidTr="00482525">
        <w:trPr>
          <w:trHeight w:val="638"/>
          <w:tblHeader/>
          <w:jc w:val="center"/>
        </w:trPr>
        <w:tc>
          <w:tcPr>
            <w:tcW w:w="4320" w:type="dxa"/>
            <w:tcBorders>
              <w:right w:val="single" w:sz="4" w:space="0" w:color="auto"/>
            </w:tcBorders>
            <w:shd w:val="clear" w:color="auto" w:fill="035530"/>
            <w:noWrap/>
            <w:vAlign w:val="center"/>
          </w:tcPr>
          <w:p w14:paraId="5E462746" w14:textId="77777777" w:rsidR="0070781A" w:rsidRPr="005A74EB" w:rsidRDefault="0070781A" w:rsidP="00583120">
            <w:pPr>
              <w:jc w:val="center"/>
              <w:rPr>
                <w:rFonts w:ascii="Arial" w:hAnsi="Arial" w:cs="Arial"/>
              </w:rPr>
            </w:pPr>
          </w:p>
        </w:tc>
        <w:tc>
          <w:tcPr>
            <w:tcW w:w="4320" w:type="dxa"/>
            <w:tcBorders>
              <w:left w:val="single" w:sz="4" w:space="0" w:color="auto"/>
            </w:tcBorders>
            <w:shd w:val="clear" w:color="auto" w:fill="035530"/>
            <w:noWrap/>
            <w:vAlign w:val="center"/>
          </w:tcPr>
          <w:p w14:paraId="445D9EE4" w14:textId="56D8DC4D" w:rsidR="0070781A" w:rsidRPr="00423528" w:rsidRDefault="00626BFC" w:rsidP="00583120">
            <w:pPr>
              <w:jc w:val="center"/>
              <w:rPr>
                <w:rFonts w:ascii="Arial" w:hAnsi="Arial" w:cs="Arial"/>
                <w:b/>
              </w:rPr>
            </w:pPr>
            <w:r w:rsidRPr="00423528">
              <w:rPr>
                <w:rFonts w:ascii="Arial" w:hAnsi="Arial" w:cs="Arial"/>
                <w:b/>
              </w:rPr>
              <w:t>Shasta</w:t>
            </w:r>
          </w:p>
        </w:tc>
      </w:tr>
      <w:tr w:rsidR="00C662AE" w:rsidRPr="0045472C" w14:paraId="1F12206D" w14:textId="77777777" w:rsidTr="0053549F">
        <w:trPr>
          <w:trHeight w:val="576"/>
          <w:jc w:val="center"/>
        </w:trPr>
        <w:tc>
          <w:tcPr>
            <w:tcW w:w="4320" w:type="dxa"/>
            <w:tcBorders>
              <w:right w:val="single" w:sz="4" w:space="0" w:color="auto"/>
            </w:tcBorders>
            <w:noWrap/>
            <w:vAlign w:val="center"/>
          </w:tcPr>
          <w:p w14:paraId="09F364BB" w14:textId="77777777" w:rsidR="00C662AE" w:rsidRPr="005A74EB" w:rsidRDefault="00C662AE" w:rsidP="00583120">
            <w:pPr>
              <w:jc w:val="center"/>
              <w:rPr>
                <w:rFonts w:ascii="Arial" w:hAnsi="Arial" w:cs="Arial"/>
              </w:rPr>
            </w:pPr>
            <w:r w:rsidRPr="005A74EB">
              <w:rPr>
                <w:rFonts w:ascii="Arial" w:hAnsi="Arial" w:cs="Arial"/>
              </w:rPr>
              <w:t>County Enrollment</w:t>
            </w:r>
          </w:p>
        </w:tc>
        <w:tc>
          <w:tcPr>
            <w:tcW w:w="4320" w:type="dxa"/>
            <w:tcBorders>
              <w:left w:val="single" w:sz="4" w:space="0" w:color="auto"/>
            </w:tcBorders>
            <w:noWrap/>
            <w:vAlign w:val="center"/>
          </w:tcPr>
          <w:p w14:paraId="596BFE93" w14:textId="77777777" w:rsidR="00C662AE" w:rsidRPr="005A74EB" w:rsidRDefault="00C662AE" w:rsidP="00583120">
            <w:pPr>
              <w:jc w:val="center"/>
              <w:rPr>
                <w:rFonts w:ascii="Arial" w:hAnsi="Arial" w:cs="Arial"/>
              </w:rPr>
            </w:pPr>
            <w:r w:rsidRPr="005A74EB">
              <w:rPr>
                <w:rFonts w:ascii="Arial" w:hAnsi="Arial" w:cs="Arial"/>
              </w:rPr>
              <w:t>3,000</w:t>
            </w:r>
          </w:p>
        </w:tc>
      </w:tr>
      <w:tr w:rsidR="00C662AE" w:rsidRPr="0045472C" w14:paraId="3429ED5C" w14:textId="77777777" w:rsidTr="0053549F">
        <w:trPr>
          <w:trHeight w:val="576"/>
          <w:jc w:val="center"/>
        </w:trPr>
        <w:tc>
          <w:tcPr>
            <w:tcW w:w="4320" w:type="dxa"/>
            <w:tcBorders>
              <w:right w:val="single" w:sz="4" w:space="0" w:color="auto"/>
            </w:tcBorders>
            <w:noWrap/>
            <w:vAlign w:val="center"/>
          </w:tcPr>
          <w:p w14:paraId="1572B2F8" w14:textId="77777777" w:rsidR="00C662AE" w:rsidRPr="005A74EB" w:rsidRDefault="00C662AE" w:rsidP="00583120">
            <w:pPr>
              <w:jc w:val="center"/>
              <w:rPr>
                <w:rFonts w:ascii="Arial" w:hAnsi="Arial" w:cs="Arial"/>
              </w:rPr>
            </w:pPr>
            <w:r w:rsidRPr="005A74EB">
              <w:rPr>
                <w:rFonts w:ascii="Arial" w:hAnsi="Arial" w:cs="Arial"/>
              </w:rPr>
              <w:t>County Population</w:t>
            </w:r>
          </w:p>
        </w:tc>
        <w:tc>
          <w:tcPr>
            <w:tcW w:w="4320" w:type="dxa"/>
            <w:tcBorders>
              <w:left w:val="single" w:sz="4" w:space="0" w:color="auto"/>
            </w:tcBorders>
            <w:noWrap/>
            <w:vAlign w:val="center"/>
          </w:tcPr>
          <w:p w14:paraId="6C487E80" w14:textId="77777777" w:rsidR="00C662AE" w:rsidRPr="005A74EB" w:rsidRDefault="00C662AE" w:rsidP="00583120">
            <w:pPr>
              <w:jc w:val="center"/>
              <w:rPr>
                <w:rFonts w:ascii="Arial" w:hAnsi="Arial" w:cs="Arial"/>
              </w:rPr>
            </w:pPr>
            <w:r w:rsidRPr="005A74EB">
              <w:rPr>
                <w:rFonts w:ascii="Arial" w:hAnsi="Arial" w:cs="Arial"/>
              </w:rPr>
              <w:t>187,189</w:t>
            </w:r>
          </w:p>
        </w:tc>
      </w:tr>
      <w:tr w:rsidR="00C662AE" w:rsidRPr="0045472C" w14:paraId="6D975922" w14:textId="77777777" w:rsidTr="006A205E">
        <w:trPr>
          <w:trHeight w:val="638"/>
          <w:jc w:val="center"/>
        </w:trPr>
        <w:tc>
          <w:tcPr>
            <w:tcW w:w="4320" w:type="dxa"/>
            <w:tcBorders>
              <w:right w:val="single" w:sz="4" w:space="0" w:color="auto"/>
            </w:tcBorders>
            <w:noWrap/>
            <w:vAlign w:val="center"/>
          </w:tcPr>
          <w:p w14:paraId="4783BBD0" w14:textId="77777777" w:rsidR="00C662AE" w:rsidRPr="005A74EB" w:rsidRDefault="00C662AE" w:rsidP="00583120">
            <w:pPr>
              <w:jc w:val="center"/>
              <w:rPr>
                <w:rFonts w:ascii="Arial" w:hAnsi="Arial" w:cs="Arial"/>
              </w:rPr>
            </w:pPr>
            <w:r w:rsidRPr="005A74EB">
              <w:rPr>
                <w:rFonts w:ascii="Arial" w:hAnsi="Arial" w:cs="Arial"/>
              </w:rPr>
              <w:t>% County Enrolled</w:t>
            </w:r>
          </w:p>
        </w:tc>
        <w:tc>
          <w:tcPr>
            <w:tcW w:w="4320" w:type="dxa"/>
            <w:tcBorders>
              <w:left w:val="single" w:sz="4" w:space="0" w:color="auto"/>
            </w:tcBorders>
            <w:noWrap/>
            <w:vAlign w:val="center"/>
          </w:tcPr>
          <w:p w14:paraId="23C8E8CA" w14:textId="77777777" w:rsidR="00C662AE" w:rsidRPr="005A74EB" w:rsidRDefault="00C662AE" w:rsidP="00583120">
            <w:pPr>
              <w:jc w:val="center"/>
              <w:rPr>
                <w:rFonts w:ascii="Arial" w:hAnsi="Arial" w:cs="Arial"/>
              </w:rPr>
            </w:pPr>
            <w:r w:rsidRPr="005A74EB">
              <w:rPr>
                <w:rFonts w:ascii="Arial" w:hAnsi="Arial" w:cs="Arial"/>
              </w:rPr>
              <w:t>1.6%</w:t>
            </w:r>
          </w:p>
        </w:tc>
      </w:tr>
      <w:tr w:rsidR="00C662AE" w:rsidRPr="0045472C" w14:paraId="16BCA156" w14:textId="77777777" w:rsidTr="006A205E">
        <w:trPr>
          <w:trHeight w:val="720"/>
          <w:jc w:val="center"/>
        </w:trPr>
        <w:tc>
          <w:tcPr>
            <w:tcW w:w="4320" w:type="dxa"/>
            <w:tcBorders>
              <w:right w:val="single" w:sz="4" w:space="0" w:color="auto"/>
            </w:tcBorders>
            <w:noWrap/>
            <w:vAlign w:val="center"/>
          </w:tcPr>
          <w:p w14:paraId="62435FB1" w14:textId="77777777" w:rsidR="00C662AE" w:rsidRPr="005A74EB" w:rsidRDefault="00C662AE" w:rsidP="00583120">
            <w:pPr>
              <w:jc w:val="center"/>
              <w:rPr>
                <w:rFonts w:ascii="Arial" w:hAnsi="Arial" w:cs="Arial"/>
              </w:rPr>
            </w:pPr>
            <w:r w:rsidRPr="005A74EB">
              <w:rPr>
                <w:rFonts w:ascii="Arial" w:hAnsi="Arial" w:cs="Arial"/>
              </w:rPr>
              <w:t>High-Enrollment Coefficient, Defined from Table F</w:t>
            </w:r>
          </w:p>
        </w:tc>
        <w:tc>
          <w:tcPr>
            <w:tcW w:w="4320" w:type="dxa"/>
            <w:tcBorders>
              <w:left w:val="single" w:sz="4" w:space="0" w:color="auto"/>
            </w:tcBorders>
            <w:noWrap/>
            <w:vAlign w:val="center"/>
          </w:tcPr>
          <w:p w14:paraId="4DBAEA55" w14:textId="77777777" w:rsidR="00C662AE" w:rsidRPr="005A74EB" w:rsidRDefault="00C662AE" w:rsidP="00583120">
            <w:pPr>
              <w:jc w:val="center"/>
              <w:rPr>
                <w:rFonts w:ascii="Arial" w:hAnsi="Arial" w:cs="Arial"/>
              </w:rPr>
            </w:pPr>
            <w:r w:rsidRPr="005A74EB">
              <w:rPr>
                <w:rFonts w:ascii="Arial" w:hAnsi="Arial" w:cs="Arial"/>
              </w:rPr>
              <w:t>1.5</w:t>
            </w:r>
          </w:p>
        </w:tc>
      </w:tr>
      <w:tr w:rsidR="00C662AE" w:rsidRPr="0045472C" w14:paraId="1A1BFE84" w14:textId="77777777" w:rsidTr="006A205E">
        <w:trPr>
          <w:trHeight w:val="728"/>
          <w:jc w:val="center"/>
        </w:trPr>
        <w:tc>
          <w:tcPr>
            <w:tcW w:w="4320" w:type="dxa"/>
            <w:tcBorders>
              <w:right w:val="single" w:sz="4" w:space="0" w:color="auto"/>
            </w:tcBorders>
            <w:noWrap/>
            <w:vAlign w:val="center"/>
          </w:tcPr>
          <w:p w14:paraId="5D862DA4" w14:textId="77777777" w:rsidR="00C662AE" w:rsidRPr="005A74EB" w:rsidRDefault="00C662AE" w:rsidP="00583120">
            <w:pPr>
              <w:jc w:val="center"/>
              <w:rPr>
                <w:rFonts w:ascii="Arial" w:hAnsi="Arial" w:cs="Arial"/>
              </w:rPr>
            </w:pPr>
            <w:r w:rsidRPr="005A74EB">
              <w:rPr>
                <w:rFonts w:ascii="Arial" w:hAnsi="Arial" w:cs="Arial"/>
              </w:rPr>
              <w:t>Total FTEs with EPs, Calculated in Schedule A-2, Table E</w:t>
            </w:r>
          </w:p>
        </w:tc>
        <w:tc>
          <w:tcPr>
            <w:tcW w:w="4320" w:type="dxa"/>
            <w:tcBorders>
              <w:left w:val="single" w:sz="4" w:space="0" w:color="auto"/>
            </w:tcBorders>
            <w:noWrap/>
            <w:vAlign w:val="center"/>
          </w:tcPr>
          <w:p w14:paraId="7F91DEC4" w14:textId="77777777" w:rsidR="00C662AE" w:rsidRPr="005A74EB" w:rsidRDefault="00C662AE" w:rsidP="00583120">
            <w:pPr>
              <w:jc w:val="center"/>
              <w:rPr>
                <w:rFonts w:ascii="Arial" w:hAnsi="Arial" w:cs="Arial"/>
              </w:rPr>
            </w:pPr>
            <w:r w:rsidRPr="005A74EB">
              <w:rPr>
                <w:rFonts w:ascii="Arial" w:hAnsi="Arial" w:cs="Arial"/>
              </w:rPr>
              <w:t>2.41</w:t>
            </w:r>
          </w:p>
        </w:tc>
      </w:tr>
      <w:tr w:rsidR="00EE31F7" w:rsidRPr="00EE31F7" w14:paraId="50842DDE" w14:textId="77777777" w:rsidTr="00482525">
        <w:trPr>
          <w:trHeight w:val="782"/>
          <w:jc w:val="center"/>
        </w:trPr>
        <w:tc>
          <w:tcPr>
            <w:tcW w:w="4320" w:type="dxa"/>
            <w:tcBorders>
              <w:right w:val="single" w:sz="4" w:space="0" w:color="auto"/>
            </w:tcBorders>
            <w:noWrap/>
            <w:vAlign w:val="center"/>
          </w:tcPr>
          <w:p w14:paraId="3EFFC46D" w14:textId="77777777" w:rsidR="00C662AE" w:rsidRPr="00EE31F7" w:rsidRDefault="00C662AE" w:rsidP="00583120">
            <w:pPr>
              <w:jc w:val="center"/>
              <w:rPr>
                <w:rFonts w:ascii="Arial" w:hAnsi="Arial" w:cs="Arial"/>
              </w:rPr>
            </w:pPr>
            <w:r w:rsidRPr="00EE31F7">
              <w:rPr>
                <w:rFonts w:ascii="Arial" w:hAnsi="Arial" w:cs="Arial"/>
              </w:rPr>
              <w:lastRenderedPageBreak/>
              <w:t>Enrollment-Adjusted Total FTEs</w:t>
            </w:r>
          </w:p>
        </w:tc>
        <w:tc>
          <w:tcPr>
            <w:tcW w:w="4320" w:type="dxa"/>
            <w:tcBorders>
              <w:left w:val="single" w:sz="4" w:space="0" w:color="auto"/>
            </w:tcBorders>
            <w:noWrap/>
            <w:vAlign w:val="center"/>
          </w:tcPr>
          <w:p w14:paraId="751F6575" w14:textId="77777777" w:rsidR="00C662AE" w:rsidRPr="00EE31F7" w:rsidRDefault="00C662AE" w:rsidP="00583120">
            <w:pPr>
              <w:jc w:val="center"/>
              <w:rPr>
                <w:rFonts w:ascii="Arial" w:hAnsi="Arial" w:cs="Arial"/>
              </w:rPr>
            </w:pPr>
            <w:r w:rsidRPr="00EE31F7">
              <w:rPr>
                <w:rFonts w:ascii="Arial" w:hAnsi="Arial" w:cs="Arial"/>
              </w:rPr>
              <w:t>1.5 * 2.41 = 3.62</w:t>
            </w:r>
          </w:p>
        </w:tc>
      </w:tr>
      <w:tr w:rsidR="00EE31F7" w:rsidRPr="00EE31F7" w14:paraId="0040656E" w14:textId="77777777">
        <w:trPr>
          <w:trHeight w:val="432"/>
          <w:jc w:val="center"/>
        </w:trPr>
        <w:tc>
          <w:tcPr>
            <w:tcW w:w="4320" w:type="dxa"/>
            <w:tcBorders>
              <w:right w:val="single" w:sz="4" w:space="0" w:color="auto"/>
            </w:tcBorders>
            <w:noWrap/>
            <w:vAlign w:val="center"/>
          </w:tcPr>
          <w:p w14:paraId="33D90222" w14:textId="2D103FC0" w:rsidR="00C662AE" w:rsidRPr="00EE31F7" w:rsidRDefault="00C662AE" w:rsidP="00583120">
            <w:pPr>
              <w:spacing w:before="120" w:after="120"/>
              <w:jc w:val="center"/>
              <w:rPr>
                <w:rFonts w:ascii="Arial" w:hAnsi="Arial" w:cs="Arial"/>
              </w:rPr>
            </w:pPr>
            <w:r w:rsidRPr="00EE31F7">
              <w:rPr>
                <w:rFonts w:ascii="Arial" w:hAnsi="Arial" w:cs="Arial"/>
              </w:rPr>
              <w:t>Confirm under 80 % Cap</w:t>
            </w:r>
            <w:r w:rsidR="00B004CE" w:rsidRPr="00EE31F7">
              <w:rPr>
                <w:rFonts w:ascii="Arial" w:hAnsi="Arial" w:cs="Arial"/>
              </w:rPr>
              <w:br/>
            </w:r>
            <w:r w:rsidRPr="00EE31F7">
              <w:rPr>
                <w:rFonts w:ascii="Arial" w:hAnsi="Arial" w:cs="Arial"/>
              </w:rPr>
              <w:t>(Per Schedule A, Table B, the county has 15 full-value providers)</w:t>
            </w:r>
          </w:p>
        </w:tc>
        <w:tc>
          <w:tcPr>
            <w:tcW w:w="4320" w:type="dxa"/>
            <w:tcBorders>
              <w:left w:val="single" w:sz="4" w:space="0" w:color="auto"/>
            </w:tcBorders>
            <w:noWrap/>
            <w:vAlign w:val="center"/>
          </w:tcPr>
          <w:p w14:paraId="07AFD9BA" w14:textId="1EA26F3F" w:rsidR="00C662AE" w:rsidRPr="00EE31F7" w:rsidRDefault="00C662AE" w:rsidP="00583120">
            <w:pPr>
              <w:jc w:val="center"/>
              <w:rPr>
                <w:rFonts w:ascii="Arial" w:hAnsi="Arial" w:cs="Arial"/>
              </w:rPr>
            </w:pPr>
            <w:r w:rsidRPr="00EE31F7">
              <w:rPr>
                <w:rFonts w:ascii="Arial" w:hAnsi="Arial" w:cs="Arial"/>
              </w:rPr>
              <w:t>15* 0.8 = 12</w:t>
            </w:r>
            <w:r w:rsidR="00B004CE" w:rsidRPr="00EE31F7">
              <w:rPr>
                <w:rFonts w:ascii="Arial" w:hAnsi="Arial" w:cs="Arial"/>
              </w:rPr>
              <w:br/>
            </w:r>
            <w:r w:rsidRPr="00EE31F7">
              <w:rPr>
                <w:rFonts w:ascii="Arial" w:hAnsi="Arial" w:cs="Arial"/>
              </w:rPr>
              <w:t>3.62 &lt;12</w:t>
            </w:r>
            <w:r w:rsidR="00B004CE" w:rsidRPr="00EE31F7">
              <w:rPr>
                <w:rFonts w:ascii="Arial" w:hAnsi="Arial" w:cs="Arial"/>
              </w:rPr>
              <w:br/>
            </w:r>
            <w:r w:rsidRPr="00EE31F7">
              <w:rPr>
                <w:rFonts w:ascii="Arial" w:hAnsi="Arial" w:cs="Arial"/>
              </w:rPr>
              <w:t>Total FTE = 3.62</w:t>
            </w:r>
          </w:p>
        </w:tc>
      </w:tr>
      <w:tr w:rsidR="00EE31F7" w:rsidRPr="00EE31F7" w14:paraId="072DBB21" w14:textId="77777777" w:rsidTr="000B722A">
        <w:trPr>
          <w:trHeight w:val="737"/>
          <w:jc w:val="center"/>
        </w:trPr>
        <w:tc>
          <w:tcPr>
            <w:tcW w:w="4320" w:type="dxa"/>
            <w:tcBorders>
              <w:right w:val="single" w:sz="4" w:space="0" w:color="auto"/>
            </w:tcBorders>
            <w:noWrap/>
            <w:vAlign w:val="center"/>
          </w:tcPr>
          <w:p w14:paraId="417FCA8F" w14:textId="1EB1894D" w:rsidR="00C662AE" w:rsidRPr="00EE31F7" w:rsidRDefault="00C662AE" w:rsidP="00583120">
            <w:pPr>
              <w:jc w:val="center"/>
              <w:rPr>
                <w:rFonts w:ascii="Arial" w:hAnsi="Arial" w:cs="Arial"/>
              </w:rPr>
            </w:pPr>
            <w:r w:rsidRPr="00EE31F7">
              <w:rPr>
                <w:rFonts w:ascii="Arial" w:hAnsi="Arial" w:cs="Arial"/>
              </w:rPr>
              <w:t>Telehealth Ratio Modifier, Calculated in Schedule A-1, Table C</w:t>
            </w:r>
          </w:p>
        </w:tc>
        <w:tc>
          <w:tcPr>
            <w:tcW w:w="4320" w:type="dxa"/>
            <w:tcBorders>
              <w:left w:val="single" w:sz="4" w:space="0" w:color="auto"/>
            </w:tcBorders>
            <w:noWrap/>
            <w:vAlign w:val="center"/>
          </w:tcPr>
          <w:p w14:paraId="5E8AA01F" w14:textId="6FC58FC4" w:rsidR="00C662AE" w:rsidRPr="00EE31F7" w:rsidRDefault="00C662AE" w:rsidP="00583120">
            <w:pPr>
              <w:jc w:val="center"/>
              <w:rPr>
                <w:rFonts w:ascii="Arial" w:hAnsi="Arial" w:cs="Arial"/>
              </w:rPr>
            </w:pPr>
            <w:r w:rsidRPr="00EE31F7">
              <w:rPr>
                <w:rFonts w:ascii="Arial" w:hAnsi="Arial" w:cs="Arial"/>
              </w:rPr>
              <w:t>0.085</w:t>
            </w:r>
          </w:p>
        </w:tc>
      </w:tr>
      <w:tr w:rsidR="00EE31F7" w:rsidRPr="00EE31F7" w14:paraId="4ACAC3E7" w14:textId="77777777" w:rsidTr="000B722A">
        <w:trPr>
          <w:trHeight w:val="800"/>
          <w:jc w:val="center"/>
        </w:trPr>
        <w:tc>
          <w:tcPr>
            <w:tcW w:w="4320" w:type="dxa"/>
            <w:tcBorders>
              <w:right w:val="single" w:sz="4" w:space="0" w:color="auto"/>
            </w:tcBorders>
            <w:noWrap/>
            <w:vAlign w:val="center"/>
          </w:tcPr>
          <w:p w14:paraId="2E3351D9" w14:textId="69286020" w:rsidR="00261F90" w:rsidRPr="00EE31F7" w:rsidRDefault="00261F90" w:rsidP="00583120">
            <w:pPr>
              <w:jc w:val="center"/>
              <w:rPr>
                <w:rFonts w:ascii="Arial" w:hAnsi="Arial" w:cs="Arial"/>
                <w:u w:val="single"/>
              </w:rPr>
            </w:pPr>
            <w:r w:rsidRPr="00EE31F7">
              <w:rPr>
                <w:rFonts w:ascii="Arial" w:hAnsi="Arial" w:cs="Arial"/>
                <w:u w:val="single"/>
              </w:rPr>
              <w:t>Enrollment-Adjusted Telehealth Ratio Modifier</w:t>
            </w:r>
          </w:p>
        </w:tc>
        <w:tc>
          <w:tcPr>
            <w:tcW w:w="4320" w:type="dxa"/>
            <w:tcBorders>
              <w:left w:val="single" w:sz="4" w:space="0" w:color="auto"/>
            </w:tcBorders>
            <w:noWrap/>
            <w:vAlign w:val="center"/>
          </w:tcPr>
          <w:p w14:paraId="01D7B1C0" w14:textId="113F5962" w:rsidR="00261F90" w:rsidRPr="00EE31F7" w:rsidRDefault="00261F90" w:rsidP="00583120">
            <w:pPr>
              <w:jc w:val="center"/>
              <w:rPr>
                <w:rFonts w:ascii="Arial" w:hAnsi="Arial" w:cs="Arial"/>
                <w:strike/>
                <w:u w:val="single"/>
              </w:rPr>
            </w:pPr>
            <w:r w:rsidRPr="00EE31F7">
              <w:rPr>
                <w:rFonts w:ascii="Arial" w:hAnsi="Arial" w:cs="Arial"/>
                <w:u w:val="single"/>
              </w:rPr>
              <w:t>1.5 * 0.085 = 0.1275</w:t>
            </w:r>
          </w:p>
        </w:tc>
      </w:tr>
      <w:tr w:rsidR="00EE31F7" w:rsidRPr="00EE31F7" w14:paraId="4A48D2F2" w14:textId="77777777">
        <w:trPr>
          <w:trHeight w:val="432"/>
          <w:jc w:val="center"/>
        </w:trPr>
        <w:tc>
          <w:tcPr>
            <w:tcW w:w="4320" w:type="dxa"/>
            <w:tcBorders>
              <w:right w:val="single" w:sz="4" w:space="0" w:color="auto"/>
            </w:tcBorders>
            <w:noWrap/>
            <w:vAlign w:val="center"/>
            <w:hideMark/>
          </w:tcPr>
          <w:p w14:paraId="007089C1" w14:textId="37708715" w:rsidR="00C662AE" w:rsidRPr="00EE31F7" w:rsidRDefault="00C662AE" w:rsidP="00583120">
            <w:pPr>
              <w:jc w:val="center"/>
              <w:rPr>
                <w:rFonts w:ascii="Arial" w:hAnsi="Arial" w:cs="Arial"/>
              </w:rPr>
            </w:pPr>
            <w:r w:rsidRPr="00EE31F7">
              <w:rPr>
                <w:rFonts w:ascii="Arial" w:hAnsi="Arial" w:cs="Arial"/>
                <w:strike/>
              </w:rPr>
              <w:t>Capacity</w:t>
            </w:r>
            <w:r w:rsidRPr="00EE31F7">
              <w:rPr>
                <w:rFonts w:ascii="Arial" w:hAnsi="Arial" w:cs="Arial"/>
              </w:rPr>
              <w:t xml:space="preserve"> </w:t>
            </w:r>
            <w:r w:rsidR="00EC588B" w:rsidRPr="00EE31F7">
              <w:rPr>
                <w:rFonts w:ascii="Arial" w:hAnsi="Arial" w:cs="Arial"/>
                <w:u w:val="single"/>
              </w:rPr>
              <w:t xml:space="preserve">FTE </w:t>
            </w:r>
            <w:r w:rsidRPr="00EE31F7">
              <w:rPr>
                <w:rFonts w:ascii="Arial" w:hAnsi="Arial" w:cs="Arial"/>
              </w:rPr>
              <w:t>Ratio (1: _____)</w:t>
            </w:r>
          </w:p>
        </w:tc>
        <w:tc>
          <w:tcPr>
            <w:tcW w:w="4320" w:type="dxa"/>
            <w:tcBorders>
              <w:left w:val="single" w:sz="4" w:space="0" w:color="auto"/>
            </w:tcBorders>
            <w:noWrap/>
            <w:vAlign w:val="center"/>
            <w:hideMark/>
          </w:tcPr>
          <w:p w14:paraId="04B848C4" w14:textId="34661F70" w:rsidR="002550F4" w:rsidRPr="00EE31F7" w:rsidRDefault="00C662AE" w:rsidP="00583120">
            <w:pPr>
              <w:spacing w:before="120" w:after="240"/>
              <w:jc w:val="center"/>
              <w:rPr>
                <w:rFonts w:ascii="Arial" w:hAnsi="Arial" w:cs="Arial"/>
                <w:strike/>
                <w:u w:val="single"/>
              </w:rPr>
            </w:pPr>
            <w:r w:rsidRPr="00EE31F7">
              <w:rPr>
                <w:rFonts w:ascii="Arial" w:hAnsi="Arial" w:cs="Arial"/>
                <w:strike/>
              </w:rPr>
              <w:t>3000</w:t>
            </w:r>
            <w:r w:rsidR="00EC242E" w:rsidRPr="00EE31F7">
              <w:rPr>
                <w:rFonts w:ascii="Arial" w:hAnsi="Arial" w:cs="Arial"/>
                <w:strike/>
              </w:rPr>
              <w:t xml:space="preserve"> ÷ </w:t>
            </w:r>
            <w:r w:rsidRPr="00EE31F7">
              <w:rPr>
                <w:rFonts w:ascii="Arial" w:hAnsi="Arial" w:cs="Arial"/>
                <w:strike/>
              </w:rPr>
              <w:t xml:space="preserve">(3.62 + </w:t>
            </w:r>
            <w:r w:rsidR="001F52AD" w:rsidRPr="00EE31F7">
              <w:rPr>
                <w:rFonts w:ascii="Arial" w:hAnsi="Arial" w:cs="Arial"/>
                <w:strike/>
              </w:rPr>
              <w:t>0.085</w:t>
            </w:r>
            <w:r w:rsidRPr="00EE31F7">
              <w:rPr>
                <w:rFonts w:ascii="Arial" w:hAnsi="Arial" w:cs="Arial"/>
                <w:strike/>
              </w:rPr>
              <w:t xml:space="preserve">) = </w:t>
            </w:r>
            <w:r w:rsidR="001F52AD" w:rsidRPr="00EE31F7">
              <w:rPr>
                <w:rFonts w:ascii="Arial" w:hAnsi="Arial" w:cs="Arial"/>
                <w:strike/>
              </w:rPr>
              <w:t>811</w:t>
            </w:r>
          </w:p>
          <w:p w14:paraId="5C392E4A" w14:textId="56C54938" w:rsidR="00385453" w:rsidRPr="00EE31F7" w:rsidRDefault="00385453" w:rsidP="00583120">
            <w:pPr>
              <w:spacing w:after="240"/>
              <w:jc w:val="center"/>
              <w:rPr>
                <w:rFonts w:ascii="Arial" w:hAnsi="Arial" w:cs="Arial"/>
                <w:u w:val="single"/>
              </w:rPr>
            </w:pPr>
            <w:r w:rsidRPr="00EE31F7">
              <w:rPr>
                <w:rFonts w:ascii="Arial" w:hAnsi="Arial" w:cs="Arial"/>
                <w:u w:val="single"/>
              </w:rPr>
              <w:t>3000 ÷ (3.62 + 0.1275) = 801</w:t>
            </w:r>
          </w:p>
          <w:p w14:paraId="78615D65" w14:textId="0E03C8B9" w:rsidR="004911A8" w:rsidRPr="00EE31F7" w:rsidRDefault="004911A8" w:rsidP="00583120">
            <w:pPr>
              <w:jc w:val="center"/>
              <w:rPr>
                <w:rFonts w:ascii="Arial" w:hAnsi="Arial" w:cs="Arial"/>
                <w:sz w:val="16"/>
                <w:szCs w:val="16"/>
              </w:rPr>
            </w:pPr>
          </w:p>
        </w:tc>
      </w:tr>
    </w:tbl>
    <w:p w14:paraId="1108E975" w14:textId="4D5E930E" w:rsidR="00EC588B" w:rsidRPr="00EE31F7" w:rsidRDefault="00C662AE" w:rsidP="00583120">
      <w:pPr>
        <w:spacing w:before="240" w:after="240"/>
        <w:rPr>
          <w:rFonts w:ascii="Arial" w:hAnsi="Arial" w:cs="Arial"/>
          <w:b/>
          <w:bCs/>
        </w:rPr>
      </w:pPr>
      <w:r w:rsidRPr="00EE31F7">
        <w:rPr>
          <w:rFonts w:ascii="Arial" w:hAnsi="Arial" w:cs="Arial"/>
        </w:rPr>
        <w:t>*Values in this example are derived from Schedule A, Table B, Schedule A-1, Table C and Schedule A-2, Table E.</w:t>
      </w:r>
    </w:p>
    <w:p w14:paraId="4FDB7141" w14:textId="26687979" w:rsidR="00EC588B" w:rsidRPr="00EE31F7" w:rsidRDefault="00EC588B" w:rsidP="00583120">
      <w:pPr>
        <w:spacing w:after="240"/>
        <w:rPr>
          <w:rFonts w:ascii="Arial" w:hAnsi="Arial" w:cs="Arial"/>
          <w:b/>
          <w:bCs/>
          <w:u w:val="single"/>
        </w:rPr>
      </w:pPr>
      <w:r w:rsidRPr="00EE31F7">
        <w:rPr>
          <w:rFonts w:ascii="Arial" w:hAnsi="Arial" w:cs="Arial"/>
          <w:b/>
          <w:bCs/>
          <w:u w:val="single"/>
        </w:rPr>
        <w:t>Outcome from Example 4:</w:t>
      </w:r>
    </w:p>
    <w:p w14:paraId="3094ACB2" w14:textId="2F7CFCE3" w:rsidR="00EC588B" w:rsidRPr="00EE31F7" w:rsidRDefault="00EC588B" w:rsidP="00583120">
      <w:pPr>
        <w:spacing w:after="240"/>
        <w:rPr>
          <w:rFonts w:ascii="Arial" w:hAnsi="Arial" w:cs="Arial"/>
          <w:u w:val="single"/>
        </w:rPr>
      </w:pPr>
      <w:r w:rsidRPr="00EE31F7">
        <w:rPr>
          <w:rFonts w:ascii="Arial" w:hAnsi="Arial" w:cs="Arial"/>
          <w:u w:val="single"/>
        </w:rPr>
        <w:t xml:space="preserve">The High Enrollment Modifier has further reduced the ratio in </w:t>
      </w:r>
      <w:r w:rsidR="0081037E" w:rsidRPr="00EE31F7">
        <w:rPr>
          <w:rFonts w:ascii="Arial" w:hAnsi="Arial" w:cs="Arial"/>
          <w:u w:val="single"/>
        </w:rPr>
        <w:t>Shasta</w:t>
      </w:r>
      <w:r w:rsidRPr="00EE31F7">
        <w:rPr>
          <w:rFonts w:ascii="Arial" w:hAnsi="Arial" w:cs="Arial"/>
          <w:u w:val="single"/>
        </w:rPr>
        <w:t xml:space="preserve"> County. This fictional network county meets compliance under the applicable FTE ratio standard for </w:t>
      </w:r>
      <w:r w:rsidR="0081037E" w:rsidRPr="00EE31F7">
        <w:rPr>
          <w:rFonts w:ascii="Arial" w:hAnsi="Arial" w:cs="Arial"/>
          <w:u w:val="single"/>
        </w:rPr>
        <w:t>Shasta</w:t>
      </w:r>
      <w:r w:rsidRPr="00EE31F7">
        <w:rPr>
          <w:rFonts w:ascii="Arial" w:hAnsi="Arial" w:cs="Arial"/>
          <w:u w:val="single"/>
        </w:rPr>
        <w:t xml:space="preserve"> County.</w:t>
      </w:r>
    </w:p>
    <w:p w14:paraId="083BC32C" w14:textId="77777777" w:rsidR="00C662AE" w:rsidRPr="00087CB1" w:rsidRDefault="00C662AE" w:rsidP="00583120">
      <w:pPr>
        <w:pStyle w:val="Heading1"/>
      </w:pPr>
      <w:r w:rsidRPr="0045472C">
        <w:br w:type="page"/>
      </w:r>
      <w:r w:rsidRPr="00087CB1">
        <w:lastRenderedPageBreak/>
        <w:t>Schedule A-4</w:t>
      </w:r>
    </w:p>
    <w:p w14:paraId="60962101" w14:textId="3244287F" w:rsidR="00C662AE" w:rsidRDefault="00C662AE" w:rsidP="00583120">
      <w:pPr>
        <w:jc w:val="center"/>
        <w:rPr>
          <w:rFonts w:ascii="Arial" w:hAnsi="Arial" w:cs="Arial"/>
          <w:b/>
          <w:bCs/>
          <w:sz w:val="28"/>
          <w:szCs w:val="28"/>
        </w:rPr>
      </w:pPr>
      <w:r w:rsidRPr="00DE3900">
        <w:rPr>
          <w:rFonts w:ascii="Arial" w:hAnsi="Arial" w:cs="Arial"/>
          <w:b/>
          <w:bCs/>
          <w:sz w:val="28"/>
          <w:szCs w:val="28"/>
        </w:rPr>
        <w:t>Alternative Methodology</w:t>
      </w:r>
      <w:r w:rsidR="00193BF9" w:rsidRPr="00DE3900">
        <w:rPr>
          <w:rFonts w:ascii="Arial" w:hAnsi="Arial" w:cs="Arial"/>
          <w:b/>
          <w:bCs/>
          <w:sz w:val="28"/>
          <w:szCs w:val="28"/>
        </w:rPr>
        <w:br/>
      </w:r>
      <w:r w:rsidRPr="00DE3900">
        <w:rPr>
          <w:rFonts w:ascii="Arial" w:hAnsi="Arial" w:cs="Arial"/>
          <w:b/>
          <w:bCs/>
          <w:sz w:val="28"/>
          <w:szCs w:val="28"/>
        </w:rPr>
        <w:t>Combined County Ratio Modifier - Counseling MHP</w:t>
      </w:r>
    </w:p>
    <w:p w14:paraId="7A7D0AFC" w14:textId="5342A0B4" w:rsidR="00C662AE" w:rsidRPr="00087CB1" w:rsidRDefault="00C662AE" w:rsidP="00583120">
      <w:pPr>
        <w:spacing w:before="240" w:after="240"/>
        <w:textAlignment w:val="baseline"/>
        <w:rPr>
          <w:rFonts w:ascii="Arial" w:hAnsi="Arial" w:cs="Arial"/>
        </w:rPr>
      </w:pPr>
      <w:r w:rsidRPr="00087CB1">
        <w:rPr>
          <w:rFonts w:ascii="Arial" w:hAnsi="Arial" w:cs="Arial"/>
        </w:rPr>
        <w:t xml:space="preserve">The DMHC shall follow the steps below to calculate the FTE </w:t>
      </w:r>
      <w:r w:rsidR="009F4E28" w:rsidRPr="00087CB1">
        <w:rPr>
          <w:rFonts w:ascii="Arial" w:hAnsi="Arial" w:cs="Arial"/>
        </w:rPr>
        <w:t>C</w:t>
      </w:r>
      <w:r w:rsidRPr="00087CB1">
        <w:rPr>
          <w:rFonts w:ascii="Arial" w:hAnsi="Arial" w:cs="Arial"/>
        </w:rPr>
        <w:t xml:space="preserve">ounseling MHP ratio within a combined county grouping, subject to the rules identified within section </w:t>
      </w:r>
      <w:r w:rsidR="008023B8" w:rsidRPr="00087CB1">
        <w:rPr>
          <w:rFonts w:ascii="Arial" w:hAnsi="Arial" w:cs="Arial"/>
        </w:rPr>
        <w:t>I.</w:t>
      </w:r>
      <w:r w:rsidRPr="00087CB1">
        <w:rPr>
          <w:rFonts w:ascii="Arial" w:hAnsi="Arial" w:cs="Arial"/>
        </w:rPr>
        <w:t xml:space="preserve">E of the Counseling </w:t>
      </w:r>
      <w:r w:rsidR="007A2C0B" w:rsidRPr="00087CB1">
        <w:rPr>
          <w:rFonts w:ascii="Arial" w:hAnsi="Arial" w:cs="Arial"/>
        </w:rPr>
        <w:t xml:space="preserve">Non-Physician Mental Health Professional </w:t>
      </w:r>
      <w:r w:rsidR="00704C5B" w:rsidRPr="00087CB1">
        <w:rPr>
          <w:rFonts w:ascii="Arial" w:hAnsi="Arial" w:cs="Arial"/>
        </w:rPr>
        <w:t xml:space="preserve">Ratio </w:t>
      </w:r>
      <w:r w:rsidRPr="00087CB1">
        <w:rPr>
          <w:rFonts w:ascii="Arial" w:hAnsi="Arial" w:cs="Arial"/>
        </w:rPr>
        <w:t>Standards and Methodology document:</w:t>
      </w:r>
    </w:p>
    <w:p w14:paraId="2A1B6DC5" w14:textId="5BE7FBBE" w:rsidR="00C662AE" w:rsidRPr="00087CB1" w:rsidRDefault="00C662AE" w:rsidP="00523E39">
      <w:pPr>
        <w:pStyle w:val="ListParagraph"/>
        <w:numPr>
          <w:ilvl w:val="0"/>
          <w:numId w:val="14"/>
        </w:numPr>
        <w:spacing w:after="240"/>
        <w:contextualSpacing w:val="0"/>
        <w:textAlignment w:val="baseline"/>
        <w:rPr>
          <w:rFonts w:ascii="Arial" w:hAnsi="Arial" w:cs="Arial"/>
        </w:rPr>
      </w:pPr>
      <w:r w:rsidRPr="00087CB1">
        <w:rPr>
          <w:rFonts w:ascii="Arial" w:hAnsi="Arial" w:cs="Arial"/>
        </w:rPr>
        <w:t xml:space="preserve">Identify all deficient CEAC and Rural counties within the network service area. A county is deficient if it does not meet the 1:1000 FTE ratio after accounting for the FTE calculations and Alternative Methodologies described in Schedules A-1, A-2, and A-3. For reporting year (RY) </w:t>
      </w:r>
      <w:r w:rsidR="00864DE3" w:rsidRPr="00A13A07">
        <w:rPr>
          <w:rFonts w:ascii="Arial" w:hAnsi="Arial" w:cs="Arial"/>
          <w:strike/>
        </w:rPr>
        <w:t>2025</w:t>
      </w:r>
      <w:r w:rsidR="00141A91" w:rsidRPr="00087CB1">
        <w:rPr>
          <w:rFonts w:ascii="Arial" w:hAnsi="Arial" w:cs="Arial"/>
          <w:strike/>
        </w:rPr>
        <w:t xml:space="preserve"> </w:t>
      </w:r>
      <w:r w:rsidR="00141A91" w:rsidRPr="00087CB1">
        <w:rPr>
          <w:rFonts w:ascii="Arial" w:hAnsi="Arial" w:cs="Arial"/>
          <w:u w:val="single"/>
        </w:rPr>
        <w:t>2026</w:t>
      </w:r>
      <w:r w:rsidRPr="00087CB1">
        <w:rPr>
          <w:rFonts w:ascii="Arial" w:hAnsi="Arial" w:cs="Arial"/>
        </w:rPr>
        <w:t>, designated CEAC and Rural counties include:</w:t>
      </w:r>
    </w:p>
    <w:p w14:paraId="794EDABB" w14:textId="6546B395" w:rsidR="00C662AE" w:rsidRPr="00087CB1" w:rsidRDefault="00C662AE" w:rsidP="00523E39">
      <w:pPr>
        <w:pStyle w:val="ListParagraph"/>
        <w:numPr>
          <w:ilvl w:val="1"/>
          <w:numId w:val="14"/>
        </w:numPr>
        <w:spacing w:after="240"/>
        <w:contextualSpacing w:val="0"/>
        <w:textAlignment w:val="baseline"/>
        <w:rPr>
          <w:rFonts w:ascii="Arial" w:hAnsi="Arial" w:cs="Arial"/>
        </w:rPr>
      </w:pPr>
      <w:r w:rsidRPr="00087CB1">
        <w:rPr>
          <w:rFonts w:ascii="Arial" w:hAnsi="Arial" w:cs="Arial"/>
        </w:rPr>
        <w:t xml:space="preserve">CEAC counties: </w:t>
      </w:r>
      <w:r w:rsidR="00177475" w:rsidRPr="00087CB1">
        <w:rPr>
          <w:rStyle w:val="normaltextrun"/>
          <w:rFonts w:ascii="Arial" w:eastAsiaTheme="majorEastAsia" w:hAnsi="Arial" w:cs="Arial"/>
          <w:i/>
          <w:iCs/>
        </w:rPr>
        <w:t>Alpine,</w:t>
      </w:r>
      <w:r w:rsidR="00177475" w:rsidRPr="00087CB1">
        <w:rPr>
          <w:rStyle w:val="normaltextrun"/>
          <w:rFonts w:ascii="Arial" w:eastAsiaTheme="majorEastAsia" w:hAnsi="Arial" w:cs="Arial"/>
          <w:i/>
          <w:iCs/>
          <w:strike/>
        </w:rPr>
        <w:t xml:space="preserve"> Del Norte,</w:t>
      </w:r>
      <w:r w:rsidR="00177475" w:rsidRPr="00087CB1">
        <w:rPr>
          <w:rStyle w:val="normaltextrun"/>
          <w:rFonts w:ascii="Arial" w:eastAsiaTheme="majorEastAsia" w:hAnsi="Arial" w:cs="Arial"/>
          <w:i/>
          <w:iCs/>
        </w:rPr>
        <w:t xml:space="preserve"> Inyo, Lassen, Modoc, Mono,</w:t>
      </w:r>
      <w:r w:rsidR="00177475" w:rsidRPr="00087CB1">
        <w:rPr>
          <w:rStyle w:val="normaltextrun"/>
          <w:rFonts w:ascii="Arial" w:eastAsiaTheme="majorEastAsia" w:hAnsi="Arial" w:cs="Arial"/>
          <w:i/>
          <w:iCs/>
          <w:u w:val="single"/>
        </w:rPr>
        <w:t xml:space="preserve"> Plumas, Sierra, </w:t>
      </w:r>
      <w:r w:rsidR="00177475" w:rsidRPr="00087CB1">
        <w:rPr>
          <w:rStyle w:val="normaltextrun"/>
          <w:rFonts w:ascii="Arial" w:eastAsiaTheme="majorEastAsia" w:hAnsi="Arial" w:cs="Arial"/>
          <w:i/>
          <w:iCs/>
        </w:rPr>
        <w:t>Siskiyou, and Trinity</w:t>
      </w:r>
      <w:r w:rsidR="00177475" w:rsidRPr="00087CB1">
        <w:rPr>
          <w:rStyle w:val="normaltextrun"/>
          <w:rFonts w:ascii="Arial" w:eastAsiaTheme="majorEastAsia" w:hAnsi="Arial" w:cs="Arial"/>
        </w:rPr>
        <w:t>.</w:t>
      </w:r>
    </w:p>
    <w:p w14:paraId="612A32AA" w14:textId="3D8B0EAD" w:rsidR="00C662AE" w:rsidRPr="00087CB1" w:rsidRDefault="00C662AE" w:rsidP="00523E39">
      <w:pPr>
        <w:pStyle w:val="ListParagraph"/>
        <w:numPr>
          <w:ilvl w:val="1"/>
          <w:numId w:val="14"/>
        </w:numPr>
        <w:spacing w:after="240"/>
        <w:contextualSpacing w:val="0"/>
        <w:textAlignment w:val="baseline"/>
        <w:rPr>
          <w:rFonts w:ascii="Arial" w:hAnsi="Arial" w:cs="Arial"/>
        </w:rPr>
      </w:pPr>
      <w:r w:rsidRPr="00087CB1">
        <w:rPr>
          <w:rFonts w:ascii="Arial" w:hAnsi="Arial" w:cs="Arial"/>
        </w:rPr>
        <w:t xml:space="preserve">Rural counties: </w:t>
      </w:r>
      <w:r w:rsidR="00C91BF2" w:rsidRPr="00087CB1">
        <w:rPr>
          <w:rStyle w:val="normaltextrun"/>
          <w:rFonts w:ascii="Arial" w:eastAsiaTheme="majorEastAsia" w:hAnsi="Arial" w:cs="Arial"/>
          <w:i/>
          <w:iCs/>
        </w:rPr>
        <w:t xml:space="preserve">Calaveras, Colusa, Glenn, </w:t>
      </w:r>
      <w:r w:rsidR="00C91BF2" w:rsidRPr="00087CB1">
        <w:rPr>
          <w:rStyle w:val="normaltextrun"/>
          <w:rFonts w:ascii="Arial" w:eastAsiaTheme="majorEastAsia" w:hAnsi="Arial" w:cs="Arial"/>
          <w:i/>
          <w:iCs/>
          <w:u w:val="single"/>
        </w:rPr>
        <w:t>Del Norte,</w:t>
      </w:r>
      <w:r w:rsidR="00C91BF2" w:rsidRPr="00087CB1">
        <w:rPr>
          <w:rStyle w:val="normaltextrun"/>
          <w:rFonts w:ascii="Arial" w:eastAsiaTheme="majorEastAsia" w:hAnsi="Arial" w:cs="Arial"/>
          <w:i/>
          <w:iCs/>
        </w:rPr>
        <w:t xml:space="preserve"> and Mariposa.</w:t>
      </w:r>
    </w:p>
    <w:p w14:paraId="2AE691FB" w14:textId="79B884D6" w:rsidR="00C662AE" w:rsidRPr="00087CB1" w:rsidRDefault="00C662AE" w:rsidP="00523E39">
      <w:pPr>
        <w:pStyle w:val="ListParagraph"/>
        <w:numPr>
          <w:ilvl w:val="0"/>
          <w:numId w:val="14"/>
        </w:numPr>
        <w:spacing w:after="240"/>
        <w:contextualSpacing w:val="0"/>
        <w:textAlignment w:val="baseline"/>
        <w:rPr>
          <w:rFonts w:ascii="Arial" w:hAnsi="Arial" w:cs="Arial"/>
        </w:rPr>
      </w:pPr>
      <w:r w:rsidRPr="00087CB1">
        <w:rPr>
          <w:rFonts w:ascii="Arial" w:hAnsi="Arial" w:cs="Arial"/>
        </w:rPr>
        <w:t xml:space="preserve">Identify all deficient Large Metro, Metro, and Micro counties within the network service area. For reporting year (RY) </w:t>
      </w:r>
      <w:r w:rsidR="00141A91" w:rsidRPr="00A13A07">
        <w:rPr>
          <w:rFonts w:ascii="Arial" w:hAnsi="Arial" w:cs="Arial"/>
          <w:strike/>
        </w:rPr>
        <w:t>2025</w:t>
      </w:r>
      <w:r w:rsidR="00141A91" w:rsidRPr="00087CB1">
        <w:rPr>
          <w:rFonts w:ascii="Arial" w:hAnsi="Arial" w:cs="Arial"/>
          <w:strike/>
        </w:rPr>
        <w:t xml:space="preserve"> </w:t>
      </w:r>
      <w:r w:rsidR="00141A91" w:rsidRPr="00087CB1">
        <w:rPr>
          <w:rFonts w:ascii="Arial" w:hAnsi="Arial" w:cs="Arial"/>
          <w:u w:val="single"/>
        </w:rPr>
        <w:t>2026</w:t>
      </w:r>
      <w:r w:rsidRPr="00087CB1">
        <w:rPr>
          <w:rFonts w:ascii="Arial" w:hAnsi="Arial" w:cs="Arial"/>
        </w:rPr>
        <w:t>, designated Large Metro, Metro, and Micro counties include:</w:t>
      </w:r>
    </w:p>
    <w:p w14:paraId="6A7B0513" w14:textId="77777777" w:rsidR="00C662AE" w:rsidRPr="00087CB1" w:rsidRDefault="00C662AE" w:rsidP="00583120">
      <w:pPr>
        <w:pStyle w:val="ListParagraph"/>
        <w:numPr>
          <w:ilvl w:val="1"/>
          <w:numId w:val="14"/>
        </w:numPr>
        <w:spacing w:after="240"/>
        <w:contextualSpacing w:val="0"/>
        <w:textAlignment w:val="baseline"/>
        <w:rPr>
          <w:rFonts w:ascii="Arial" w:hAnsi="Arial" w:cs="Arial"/>
        </w:rPr>
      </w:pPr>
      <w:r w:rsidRPr="00087CB1">
        <w:rPr>
          <w:rFonts w:ascii="Arial" w:hAnsi="Arial" w:cs="Arial"/>
        </w:rPr>
        <w:t xml:space="preserve">Large Metro counties: </w:t>
      </w:r>
      <w:r w:rsidRPr="00087CB1">
        <w:rPr>
          <w:rFonts w:ascii="Arial" w:hAnsi="Arial" w:cs="Arial"/>
          <w:i/>
          <w:iCs/>
        </w:rPr>
        <w:t>Alameda, Contra Costa, Los Angeles, Orange, Sacramento, San Francisco, San Mateo, and Santa Clara.</w:t>
      </w:r>
    </w:p>
    <w:p w14:paraId="0C7EA144" w14:textId="77777777" w:rsidR="00C662AE" w:rsidRPr="00087CB1" w:rsidRDefault="00C662AE" w:rsidP="00583120">
      <w:pPr>
        <w:pStyle w:val="ListParagraph"/>
        <w:numPr>
          <w:ilvl w:val="1"/>
          <w:numId w:val="14"/>
        </w:numPr>
        <w:spacing w:after="240"/>
        <w:contextualSpacing w:val="0"/>
        <w:textAlignment w:val="baseline"/>
        <w:rPr>
          <w:rFonts w:ascii="Arial" w:hAnsi="Arial" w:cs="Arial"/>
        </w:rPr>
      </w:pPr>
      <w:r w:rsidRPr="00087CB1">
        <w:rPr>
          <w:rFonts w:ascii="Arial" w:hAnsi="Arial" w:cs="Arial"/>
        </w:rPr>
        <w:t xml:space="preserve">Metro counties: </w:t>
      </w:r>
      <w:r w:rsidRPr="00087CB1">
        <w:rPr>
          <w:rFonts w:ascii="Arial" w:hAnsi="Arial" w:cs="Arial"/>
          <w:i/>
          <w:iCs/>
        </w:rPr>
        <w:t>Butte, El Dorado, Fresno, Kern, Kings, Marin, Merced, Monterey, Napa, Nevada, Placer, Riverside, San Bernardino, San Diego, San Joaquin, San Luis Obispo, Santa Barbara, Santa Cruz, Solano, Sonoma, Stanislaus, Sutter, Tulare, Ventura, Yolo, and Yuba.</w:t>
      </w:r>
    </w:p>
    <w:p w14:paraId="70FD6EBD" w14:textId="77777777" w:rsidR="00C662AE" w:rsidRPr="00087CB1" w:rsidRDefault="00C662AE" w:rsidP="00583120">
      <w:pPr>
        <w:pStyle w:val="ListParagraph"/>
        <w:numPr>
          <w:ilvl w:val="1"/>
          <w:numId w:val="14"/>
        </w:numPr>
        <w:spacing w:after="240"/>
        <w:contextualSpacing w:val="0"/>
        <w:textAlignment w:val="baseline"/>
        <w:rPr>
          <w:rFonts w:ascii="Arial" w:hAnsi="Arial" w:cs="Arial"/>
        </w:rPr>
      </w:pPr>
      <w:r w:rsidRPr="00087CB1">
        <w:rPr>
          <w:rFonts w:ascii="Arial" w:hAnsi="Arial" w:cs="Arial"/>
        </w:rPr>
        <w:t xml:space="preserve">Micro counties: </w:t>
      </w:r>
      <w:r w:rsidRPr="00087CB1">
        <w:rPr>
          <w:rFonts w:ascii="Arial" w:hAnsi="Arial" w:cs="Arial"/>
          <w:i/>
          <w:iCs/>
        </w:rPr>
        <w:t>Amador, Humboldt, Imperial, Lake, Madera, Mendocino, San Benito, Shasta, Tehama, and Tuolumne.</w:t>
      </w:r>
    </w:p>
    <w:p w14:paraId="458E3BFA" w14:textId="1D330FB5" w:rsidR="00C662AE" w:rsidRPr="00087CB1" w:rsidRDefault="00C662AE" w:rsidP="00523E39">
      <w:pPr>
        <w:pStyle w:val="ListParagraph"/>
        <w:numPr>
          <w:ilvl w:val="0"/>
          <w:numId w:val="14"/>
        </w:numPr>
        <w:spacing w:after="240"/>
        <w:contextualSpacing w:val="0"/>
        <w:textAlignment w:val="baseline"/>
        <w:rPr>
          <w:rFonts w:ascii="Arial" w:hAnsi="Arial" w:cs="Arial"/>
        </w:rPr>
      </w:pPr>
      <w:r w:rsidRPr="00087CB1">
        <w:rPr>
          <w:rFonts w:ascii="Arial" w:hAnsi="Arial" w:cs="Arial"/>
        </w:rPr>
        <w:t xml:space="preserve">Confirm that the deficient Large Metro, Metro and/or Micro counties meet the threshold requirement for a combined county grouping, based on Department of Consumer Affairs (DCA) data. See section </w:t>
      </w:r>
      <w:r w:rsidR="00286488" w:rsidRPr="00087CB1">
        <w:rPr>
          <w:rFonts w:ascii="Arial" w:hAnsi="Arial" w:cs="Arial"/>
        </w:rPr>
        <w:t>I.</w:t>
      </w:r>
      <w:r w:rsidRPr="00087CB1">
        <w:rPr>
          <w:rFonts w:ascii="Arial" w:hAnsi="Arial" w:cs="Arial"/>
        </w:rPr>
        <w:t xml:space="preserve">E of the Counseling </w:t>
      </w:r>
      <w:r w:rsidR="007A2C0B" w:rsidRPr="00087CB1">
        <w:rPr>
          <w:rFonts w:ascii="Arial" w:hAnsi="Arial" w:cs="Arial"/>
        </w:rPr>
        <w:t>Non-Physician Mental Health Professional</w:t>
      </w:r>
      <w:r w:rsidR="00A15382" w:rsidRPr="00087CB1">
        <w:rPr>
          <w:rFonts w:ascii="Arial" w:hAnsi="Arial" w:cs="Arial"/>
        </w:rPr>
        <w:t xml:space="preserve"> </w:t>
      </w:r>
      <w:r w:rsidR="00947826" w:rsidRPr="00087CB1">
        <w:rPr>
          <w:rFonts w:ascii="Arial" w:hAnsi="Arial" w:cs="Arial"/>
        </w:rPr>
        <w:t xml:space="preserve">Ratio </w:t>
      </w:r>
      <w:r w:rsidRPr="00087CB1">
        <w:rPr>
          <w:rFonts w:ascii="Arial" w:hAnsi="Arial" w:cs="Arial"/>
        </w:rPr>
        <w:t xml:space="preserve">Standards and Methodology document, and </w:t>
      </w:r>
      <w:r w:rsidRPr="00087CB1">
        <w:rPr>
          <w:rFonts w:ascii="Arial" w:hAnsi="Arial" w:cs="Arial"/>
          <w:b/>
          <w:bCs/>
        </w:rPr>
        <w:t>Schedule A-5</w:t>
      </w:r>
      <w:r w:rsidRPr="00087CB1">
        <w:rPr>
          <w:rFonts w:ascii="Arial" w:hAnsi="Arial" w:cs="Arial"/>
        </w:rPr>
        <w:t xml:space="preserve"> for details.</w:t>
      </w:r>
    </w:p>
    <w:p w14:paraId="58DEA83E" w14:textId="4CD0EDD8" w:rsidR="002859EF" w:rsidRPr="00087CB1" w:rsidRDefault="00C662AE" w:rsidP="00523E39">
      <w:pPr>
        <w:pStyle w:val="ListParagraph"/>
        <w:numPr>
          <w:ilvl w:val="0"/>
          <w:numId w:val="14"/>
        </w:numPr>
        <w:spacing w:after="240"/>
        <w:contextualSpacing w:val="0"/>
        <w:textAlignment w:val="baseline"/>
        <w:rPr>
          <w:rFonts w:ascii="Arial" w:hAnsi="Arial" w:cs="Arial"/>
        </w:rPr>
      </w:pPr>
      <w:r w:rsidRPr="00087CB1">
        <w:rPr>
          <w:rFonts w:ascii="Arial" w:hAnsi="Arial" w:cs="Arial"/>
        </w:rPr>
        <w:t>For all deficient CEAC and Rural counties, and all Large Metro, Metro and Micro counties that meet the threshold for a combined county grouping, identify adjacent sufficient counties within the network service area or adjacent to the network service area.</w:t>
      </w:r>
    </w:p>
    <w:p w14:paraId="7C9FAE46" w14:textId="5BC4497C" w:rsidR="00C662AE" w:rsidRPr="00087CB1" w:rsidRDefault="004520EB" w:rsidP="00583120">
      <w:pPr>
        <w:pStyle w:val="ListParagraph"/>
        <w:spacing w:after="240"/>
        <w:ind w:left="1440" w:hanging="360"/>
        <w:contextualSpacing w:val="0"/>
        <w:textAlignment w:val="baseline"/>
        <w:rPr>
          <w:rFonts w:ascii="Arial" w:hAnsi="Arial" w:cs="Arial"/>
        </w:rPr>
      </w:pPr>
      <w:r w:rsidRPr="00087CB1">
        <w:rPr>
          <w:rFonts w:ascii="Arial" w:hAnsi="Arial" w:cs="Arial"/>
        </w:rPr>
        <w:lastRenderedPageBreak/>
        <w:t>a.</w:t>
      </w:r>
      <w:r w:rsidRPr="00087CB1">
        <w:rPr>
          <w:rFonts w:ascii="Arial" w:hAnsi="Arial" w:cs="Arial"/>
          <w:spacing w:val="20"/>
          <w:w w:val="200"/>
        </w:rPr>
        <w:t xml:space="preserve"> </w:t>
      </w:r>
      <w:r w:rsidR="00C662AE" w:rsidRPr="00087CB1">
        <w:rPr>
          <w:rFonts w:ascii="Arial" w:hAnsi="Arial" w:cs="Arial"/>
        </w:rPr>
        <w:t>A county is sufficient if it meets the 1:1000 FTE ratio after accounting for the FTE calculations and Alternative Methodologies described in Schedules A-1, A-2, and A-3.</w:t>
      </w:r>
    </w:p>
    <w:p w14:paraId="7DDA3004" w14:textId="06414F5D" w:rsidR="00BE1E9F" w:rsidRPr="00087CB1" w:rsidRDefault="00E36414" w:rsidP="00583120">
      <w:pPr>
        <w:pStyle w:val="ListParagraph"/>
        <w:spacing w:after="240"/>
        <w:ind w:left="1440" w:hanging="360"/>
        <w:contextualSpacing w:val="0"/>
        <w:textAlignment w:val="baseline"/>
        <w:rPr>
          <w:rFonts w:ascii="Arial" w:hAnsi="Arial" w:cs="Arial"/>
        </w:rPr>
      </w:pPr>
      <w:r w:rsidRPr="00087CB1">
        <w:rPr>
          <w:rFonts w:ascii="Arial" w:hAnsi="Arial" w:cs="Arial"/>
        </w:rPr>
        <w:t>b.</w:t>
      </w:r>
      <w:r w:rsidRPr="00087CB1">
        <w:rPr>
          <w:rFonts w:ascii="Arial" w:hAnsi="Arial" w:cs="Arial"/>
          <w:spacing w:val="20"/>
          <w:w w:val="200"/>
        </w:rPr>
        <w:t xml:space="preserve"> </w:t>
      </w:r>
      <w:r w:rsidR="003F29E2" w:rsidRPr="00087CB1">
        <w:rPr>
          <w:rFonts w:ascii="Arial" w:hAnsi="Arial" w:cs="Arial"/>
        </w:rPr>
        <w:t xml:space="preserve">Adjacent counties include counties bordering the deficient county, whether inside or outside of the network service area. </w:t>
      </w:r>
      <w:r w:rsidR="00C8340A" w:rsidRPr="00087CB1">
        <w:rPr>
          <w:rFonts w:ascii="Arial" w:hAnsi="Arial" w:cs="Arial"/>
        </w:rPr>
        <w:t>When a</w:t>
      </w:r>
      <w:r w:rsidR="003D11DC" w:rsidRPr="00087CB1">
        <w:rPr>
          <w:rFonts w:ascii="Arial" w:hAnsi="Arial" w:cs="Arial"/>
        </w:rPr>
        <w:t>n adjacent</w:t>
      </w:r>
      <w:r w:rsidR="00FA431F" w:rsidRPr="00087CB1">
        <w:rPr>
          <w:rFonts w:ascii="Arial" w:hAnsi="Arial" w:cs="Arial"/>
        </w:rPr>
        <w:t xml:space="preserve"> county outside of the network service area is combined, both the county and any reported enrollment are included in the ratio calculation. </w:t>
      </w:r>
      <w:r w:rsidR="003F29E2" w:rsidRPr="00087CB1">
        <w:rPr>
          <w:rFonts w:ascii="Arial" w:hAnsi="Arial" w:cs="Arial"/>
        </w:rPr>
        <w:t xml:space="preserve">Adjacent counties in other states </w:t>
      </w:r>
      <w:r w:rsidR="00426F08" w:rsidRPr="00087CB1">
        <w:rPr>
          <w:rFonts w:ascii="Arial" w:hAnsi="Arial" w:cs="Arial"/>
        </w:rPr>
        <w:t xml:space="preserve">that contain network providers </w:t>
      </w:r>
      <w:r w:rsidR="00FB4CD1" w:rsidRPr="00087CB1">
        <w:rPr>
          <w:rFonts w:ascii="Arial" w:hAnsi="Arial" w:cs="Arial"/>
        </w:rPr>
        <w:t>may be used in</w:t>
      </w:r>
      <w:r w:rsidR="003F29E2" w:rsidRPr="00087CB1">
        <w:rPr>
          <w:rFonts w:ascii="Arial" w:hAnsi="Arial" w:cs="Arial"/>
        </w:rPr>
        <w:t xml:space="preserve"> this analysis.</w:t>
      </w:r>
    </w:p>
    <w:p w14:paraId="7A809481" w14:textId="19AC728C" w:rsidR="003F29E2" w:rsidRPr="00087CB1" w:rsidRDefault="00BE1E9F" w:rsidP="00583120">
      <w:pPr>
        <w:pStyle w:val="ListParagraph"/>
        <w:spacing w:after="240"/>
        <w:ind w:left="1440" w:hanging="360"/>
        <w:contextualSpacing w:val="0"/>
        <w:textAlignment w:val="baseline"/>
        <w:rPr>
          <w:rFonts w:ascii="Arial" w:hAnsi="Arial" w:cs="Arial"/>
        </w:rPr>
      </w:pPr>
      <w:r w:rsidRPr="00087CB1">
        <w:rPr>
          <w:rFonts w:ascii="Arial" w:hAnsi="Arial" w:cs="Arial"/>
          <w:u w:val="single"/>
        </w:rPr>
        <w:t>c.</w:t>
      </w:r>
      <w:r w:rsidRPr="00087CB1">
        <w:rPr>
          <w:rFonts w:ascii="Arial" w:hAnsi="Arial" w:cs="Arial"/>
          <w:u w:val="single"/>
        </w:rPr>
        <w:tab/>
      </w:r>
      <w:r w:rsidR="003F29E2" w:rsidRPr="00087CB1">
        <w:rPr>
          <w:rFonts w:ascii="Arial" w:hAnsi="Arial" w:cs="Arial"/>
        </w:rPr>
        <w:t xml:space="preserve">Additionally, </w:t>
      </w:r>
      <w:r w:rsidR="003F29E2" w:rsidRPr="00087CB1">
        <w:rPr>
          <w:rFonts w:ascii="Arial" w:hAnsi="Arial" w:cs="Arial"/>
          <w:strike/>
        </w:rPr>
        <w:t xml:space="preserve">the DMHC has identified </w:t>
      </w:r>
      <w:r w:rsidR="003F29E2" w:rsidRPr="00087CB1">
        <w:rPr>
          <w:rFonts w:ascii="Arial" w:hAnsi="Arial" w:cs="Arial"/>
        </w:rPr>
        <w:t xml:space="preserve">certain counties </w:t>
      </w:r>
      <w:r w:rsidR="001275B9" w:rsidRPr="00087CB1">
        <w:rPr>
          <w:rFonts w:ascii="Arial" w:hAnsi="Arial" w:cs="Arial"/>
          <w:u w:val="single"/>
        </w:rPr>
        <w:t>may combine with specified non-adjacent sufficient counties</w:t>
      </w:r>
      <w:r w:rsidR="001275B9" w:rsidRPr="00087CB1">
        <w:rPr>
          <w:rFonts w:ascii="Arial" w:hAnsi="Arial" w:cs="Arial"/>
          <w:strike/>
        </w:rPr>
        <w:t xml:space="preserve"> </w:t>
      </w:r>
      <w:r w:rsidR="003F29E2" w:rsidRPr="00087CB1">
        <w:rPr>
          <w:rFonts w:ascii="Arial" w:hAnsi="Arial" w:cs="Arial"/>
          <w:strike/>
        </w:rPr>
        <w:t>as exceptions to the county adjacency rule</w:t>
      </w:r>
      <w:r w:rsidR="003F29E2" w:rsidRPr="00087CB1">
        <w:rPr>
          <w:rFonts w:ascii="Arial" w:hAnsi="Arial" w:cs="Arial"/>
        </w:rPr>
        <w:t xml:space="preserve">. These </w:t>
      </w:r>
      <w:r w:rsidR="003203C3" w:rsidRPr="00087CB1">
        <w:rPr>
          <w:rFonts w:ascii="Arial" w:hAnsi="Arial" w:cs="Arial"/>
          <w:u w:val="single"/>
        </w:rPr>
        <w:t xml:space="preserve">non-adjacent </w:t>
      </w:r>
      <w:r w:rsidR="003F29E2" w:rsidRPr="00087CB1">
        <w:rPr>
          <w:rFonts w:ascii="Arial" w:hAnsi="Arial" w:cs="Arial"/>
        </w:rPr>
        <w:t>counties will be treated as an adjacent county to the deficient county being evaluated for the Combined County Alternative, due to the travel distance from the county’s metro center to the deficient county.</w:t>
      </w:r>
    </w:p>
    <w:p w14:paraId="3E0CA9CD" w14:textId="2B857E93" w:rsidR="002859EF" w:rsidRPr="00087CB1" w:rsidRDefault="00BE1E9F" w:rsidP="00583120">
      <w:pPr>
        <w:pStyle w:val="ListParagraph"/>
        <w:spacing w:after="240"/>
        <w:ind w:left="1440" w:hanging="360"/>
        <w:contextualSpacing w:val="0"/>
        <w:textAlignment w:val="baseline"/>
        <w:rPr>
          <w:rFonts w:ascii="Arial" w:hAnsi="Arial" w:cs="Arial"/>
        </w:rPr>
      </w:pPr>
      <w:r w:rsidRPr="00087CB1">
        <w:rPr>
          <w:rFonts w:ascii="Arial" w:hAnsi="Arial" w:cs="Arial"/>
          <w:u w:val="single"/>
        </w:rPr>
        <w:t>d.</w:t>
      </w:r>
      <w:r w:rsidR="00F77D83" w:rsidRPr="00087CB1">
        <w:rPr>
          <w:rFonts w:ascii="Arial" w:hAnsi="Arial" w:cs="Arial"/>
          <w:strike/>
        </w:rPr>
        <w:t>c.</w:t>
      </w:r>
      <w:r w:rsidR="003570D4" w:rsidRPr="00087CB1">
        <w:rPr>
          <w:rFonts w:ascii="Arial" w:hAnsi="Arial" w:cs="Arial"/>
        </w:rPr>
        <w:t xml:space="preserve"> </w:t>
      </w:r>
      <w:r w:rsidR="003F29E2" w:rsidRPr="00087CB1">
        <w:rPr>
          <w:rFonts w:ascii="Arial" w:hAnsi="Arial" w:cs="Arial"/>
        </w:rPr>
        <w:t xml:space="preserve">For a list of adjacent counties, and non-adjacent county exceptions, refer to the document entitled </w:t>
      </w:r>
      <w:r w:rsidR="006900F0" w:rsidRPr="00087CB1">
        <w:rPr>
          <w:rFonts w:ascii="Arial" w:hAnsi="Arial" w:cs="Arial"/>
        </w:rPr>
        <w:t>“</w:t>
      </w:r>
      <w:r w:rsidR="006900F0" w:rsidRPr="00087CB1">
        <w:rPr>
          <w:rFonts w:ascii="Arial" w:hAnsi="Arial" w:cs="Arial"/>
          <w:b/>
        </w:rPr>
        <w:t xml:space="preserve">Adjacent Counties and </w:t>
      </w:r>
      <w:r w:rsidR="00251145" w:rsidRPr="00087CB1">
        <w:rPr>
          <w:rFonts w:ascii="Arial" w:hAnsi="Arial" w:cs="Arial"/>
          <w:b/>
        </w:rPr>
        <w:t>Exceptions</w:t>
      </w:r>
      <w:r w:rsidR="006900F0" w:rsidRPr="00087CB1">
        <w:rPr>
          <w:rFonts w:ascii="Arial" w:hAnsi="Arial" w:cs="Arial"/>
          <w:b/>
        </w:rPr>
        <w:t xml:space="preserve"> for </w:t>
      </w:r>
      <w:r w:rsidR="00C91CDE" w:rsidRPr="00087CB1">
        <w:rPr>
          <w:rFonts w:ascii="Arial" w:hAnsi="Arial" w:cs="Arial"/>
          <w:b/>
          <w:bCs/>
          <w:u w:val="single"/>
        </w:rPr>
        <w:t xml:space="preserve">Application of </w:t>
      </w:r>
      <w:r w:rsidR="006900F0" w:rsidRPr="00087CB1">
        <w:rPr>
          <w:rFonts w:ascii="Arial" w:hAnsi="Arial" w:cs="Arial"/>
          <w:b/>
          <w:strike/>
        </w:rPr>
        <w:t xml:space="preserve">RY </w:t>
      </w:r>
      <w:r w:rsidR="00141A91" w:rsidRPr="00087CB1">
        <w:rPr>
          <w:rFonts w:ascii="Arial" w:hAnsi="Arial" w:cs="Arial"/>
          <w:b/>
          <w:bCs/>
          <w:strike/>
        </w:rPr>
        <w:t>2025</w:t>
      </w:r>
      <w:r w:rsidR="00141A91" w:rsidRPr="00087CB1">
        <w:rPr>
          <w:rFonts w:ascii="Arial" w:hAnsi="Arial" w:cs="Arial"/>
        </w:rPr>
        <w:t xml:space="preserve"> </w:t>
      </w:r>
      <w:r w:rsidR="006900F0" w:rsidRPr="00087CB1">
        <w:rPr>
          <w:rFonts w:ascii="Arial" w:hAnsi="Arial" w:cs="Arial"/>
          <w:b/>
        </w:rPr>
        <w:t>Standards and Methodology</w:t>
      </w:r>
      <w:r w:rsidR="00AC21BB" w:rsidRPr="00087CB1">
        <w:rPr>
          <w:rFonts w:ascii="Arial" w:hAnsi="Arial" w:cs="Arial"/>
        </w:rPr>
        <w:t>,</w:t>
      </w:r>
      <w:r w:rsidR="006900F0" w:rsidRPr="00087CB1">
        <w:rPr>
          <w:rFonts w:ascii="Arial" w:hAnsi="Arial" w:cs="Arial"/>
        </w:rPr>
        <w:t xml:space="preserve">” </w:t>
      </w:r>
      <w:r w:rsidR="003F29E2" w:rsidRPr="00087CB1">
        <w:rPr>
          <w:rFonts w:ascii="Arial" w:hAnsi="Arial" w:cs="Arial"/>
        </w:rPr>
        <w:t>attached.</w:t>
      </w:r>
    </w:p>
    <w:p w14:paraId="14EDA613" w14:textId="560AE330" w:rsidR="00C662AE" w:rsidRPr="00087CB1" w:rsidRDefault="00C662AE" w:rsidP="00523E39">
      <w:pPr>
        <w:pStyle w:val="ListParagraph"/>
        <w:numPr>
          <w:ilvl w:val="0"/>
          <w:numId w:val="14"/>
        </w:numPr>
        <w:spacing w:after="240"/>
        <w:contextualSpacing w:val="0"/>
        <w:textAlignment w:val="baseline"/>
        <w:rPr>
          <w:rFonts w:ascii="Arial" w:hAnsi="Arial" w:cs="Arial"/>
        </w:rPr>
      </w:pPr>
      <w:r w:rsidRPr="00087CB1">
        <w:rPr>
          <w:rFonts w:ascii="Arial" w:hAnsi="Arial" w:cs="Arial"/>
        </w:rPr>
        <w:t xml:space="preserve">Define a potential county grouping: A county grouping consists of two or more adjacent counties that meet the parameters of either a single deficient county grouping, or a single sufficient county grouping, as described in section </w:t>
      </w:r>
      <w:r w:rsidR="000C2499" w:rsidRPr="00087CB1">
        <w:rPr>
          <w:rFonts w:ascii="Arial" w:hAnsi="Arial" w:cs="Arial"/>
        </w:rPr>
        <w:t>I.</w:t>
      </w:r>
      <w:r w:rsidRPr="00087CB1">
        <w:rPr>
          <w:rFonts w:ascii="Arial" w:hAnsi="Arial" w:cs="Arial"/>
        </w:rPr>
        <w:t xml:space="preserve">E of the Counseling </w:t>
      </w:r>
      <w:r w:rsidR="00D67F09" w:rsidRPr="00087CB1">
        <w:rPr>
          <w:rFonts w:ascii="Arial" w:hAnsi="Arial" w:cs="Arial"/>
        </w:rPr>
        <w:t>Non-Physician Mental Health Professional</w:t>
      </w:r>
      <w:r w:rsidRPr="00087CB1">
        <w:rPr>
          <w:rFonts w:ascii="Arial" w:hAnsi="Arial" w:cs="Arial"/>
        </w:rPr>
        <w:t xml:space="preserve"> </w:t>
      </w:r>
      <w:r w:rsidR="00E6691E" w:rsidRPr="00087CB1">
        <w:rPr>
          <w:rFonts w:ascii="Arial" w:hAnsi="Arial" w:cs="Arial"/>
        </w:rPr>
        <w:t xml:space="preserve">Ratio </w:t>
      </w:r>
      <w:r w:rsidRPr="00087CB1">
        <w:rPr>
          <w:rFonts w:ascii="Arial" w:hAnsi="Arial" w:cs="Arial"/>
        </w:rPr>
        <w:t>Standards and Methodology Document.</w:t>
      </w:r>
    </w:p>
    <w:p w14:paraId="7C08D714" w14:textId="77777777" w:rsidR="00C662AE" w:rsidRPr="00087CB1" w:rsidRDefault="00C662AE" w:rsidP="00583120">
      <w:pPr>
        <w:pStyle w:val="ListParagraph"/>
        <w:numPr>
          <w:ilvl w:val="0"/>
          <w:numId w:val="14"/>
        </w:numPr>
        <w:spacing w:after="240"/>
        <w:contextualSpacing w:val="0"/>
        <w:textAlignment w:val="baseline"/>
        <w:rPr>
          <w:rFonts w:ascii="Arial" w:hAnsi="Arial" w:cs="Arial"/>
        </w:rPr>
      </w:pPr>
      <w:r w:rsidRPr="00087CB1">
        <w:rPr>
          <w:rFonts w:ascii="Arial" w:hAnsi="Arial" w:cs="Arial"/>
        </w:rPr>
        <w:t>Once a county is included in a county grouping, exclude the county from consideration in any other county groupings for the network. The DMHC will not evaluate a combined county separately under the ratio standard.</w:t>
      </w:r>
    </w:p>
    <w:p w14:paraId="7A301299" w14:textId="05CA701E" w:rsidR="00C662AE" w:rsidRPr="00087CB1" w:rsidRDefault="00C662AE" w:rsidP="00583120">
      <w:pPr>
        <w:pStyle w:val="ListParagraph"/>
        <w:numPr>
          <w:ilvl w:val="0"/>
          <w:numId w:val="14"/>
        </w:numPr>
        <w:spacing w:after="240"/>
        <w:contextualSpacing w:val="0"/>
        <w:textAlignment w:val="baseline"/>
        <w:rPr>
          <w:rFonts w:ascii="Arial" w:hAnsi="Arial" w:cs="Arial"/>
        </w:rPr>
      </w:pPr>
      <w:r w:rsidRPr="00087CB1">
        <w:rPr>
          <w:rFonts w:ascii="Arial" w:hAnsi="Arial" w:cs="Arial"/>
        </w:rPr>
        <w:t xml:space="preserve">Calculate a single </w:t>
      </w:r>
      <w:r w:rsidR="001E4B14" w:rsidRPr="00087CB1">
        <w:rPr>
          <w:rFonts w:ascii="Arial" w:hAnsi="Arial" w:cs="Arial"/>
        </w:rPr>
        <w:t>C</w:t>
      </w:r>
      <w:r w:rsidRPr="00087CB1">
        <w:rPr>
          <w:rFonts w:ascii="Arial" w:hAnsi="Arial" w:cs="Arial"/>
        </w:rPr>
        <w:t xml:space="preserve">ounseling MHP ratio across the combined county grouping. This combined </w:t>
      </w:r>
      <w:r w:rsidR="001E4B14" w:rsidRPr="00087CB1">
        <w:rPr>
          <w:rFonts w:ascii="Arial" w:hAnsi="Arial" w:cs="Arial"/>
        </w:rPr>
        <w:t>C</w:t>
      </w:r>
      <w:r w:rsidRPr="00087CB1">
        <w:rPr>
          <w:rFonts w:ascii="Arial" w:hAnsi="Arial" w:cs="Arial"/>
        </w:rPr>
        <w:t>ounseling MHP ratio is the sum of enrollment across all included counties divided by the sum of adjusted FTE values across all included counties within the grouping</w:t>
      </w:r>
      <w:r w:rsidR="0062324C" w:rsidRPr="00087CB1">
        <w:rPr>
          <w:rFonts w:ascii="Arial" w:hAnsi="Arial" w:cs="Arial"/>
        </w:rPr>
        <w:t xml:space="preserve"> and telehealth modifiers for all network service area counties within the grouping</w:t>
      </w:r>
      <w:r w:rsidRPr="00087CB1">
        <w:rPr>
          <w:rFonts w:ascii="Arial" w:hAnsi="Arial" w:cs="Arial"/>
        </w:rPr>
        <w:t>.</w:t>
      </w:r>
      <w:r w:rsidRPr="00087CB1">
        <w:rPr>
          <w:rFonts w:ascii="Arial" w:hAnsi="Arial" w:cs="Arial"/>
          <w:shd w:val="clear" w:color="auto" w:fill="FFFFFF"/>
        </w:rPr>
        <w:t xml:space="preserve"> </w:t>
      </w:r>
      <w:r w:rsidRPr="00087CB1">
        <w:rPr>
          <w:rFonts w:ascii="Arial" w:hAnsi="Arial" w:cs="Arial"/>
        </w:rPr>
        <w:t xml:space="preserve">The combined </w:t>
      </w:r>
      <w:r w:rsidR="001E4B14" w:rsidRPr="00087CB1">
        <w:rPr>
          <w:rFonts w:ascii="Arial" w:hAnsi="Arial" w:cs="Arial"/>
        </w:rPr>
        <w:t>C</w:t>
      </w:r>
      <w:r w:rsidRPr="00087CB1">
        <w:rPr>
          <w:rFonts w:ascii="Arial" w:hAnsi="Arial" w:cs="Arial"/>
        </w:rPr>
        <w:t>ounseling MHP ratio is calculated after any other applicable alternative standards or ratio modifiers are applied to each county.</w:t>
      </w:r>
    </w:p>
    <w:p w14:paraId="21466CFF" w14:textId="6DE6242C" w:rsidR="00C662AE" w:rsidRPr="00087CB1" w:rsidRDefault="00C662AE" w:rsidP="00583120">
      <w:pPr>
        <w:spacing w:after="240"/>
        <w:textAlignment w:val="baseline"/>
        <w:rPr>
          <w:rFonts w:ascii="Arial" w:hAnsi="Arial" w:cs="Arial"/>
        </w:rPr>
      </w:pPr>
      <w:r w:rsidRPr="00087CB1">
        <w:rPr>
          <w:rFonts w:ascii="Arial" w:hAnsi="Arial" w:cs="Arial"/>
          <w:b/>
        </w:rPr>
        <w:t xml:space="preserve">Example </w:t>
      </w:r>
      <w:r w:rsidR="00E44500" w:rsidRPr="00087CB1">
        <w:rPr>
          <w:rFonts w:ascii="Arial" w:hAnsi="Arial" w:cs="Arial"/>
          <w:b/>
          <w:u w:val="single"/>
        </w:rPr>
        <w:t>5</w:t>
      </w:r>
      <w:r w:rsidR="00E44500" w:rsidRPr="00087CB1">
        <w:rPr>
          <w:rFonts w:ascii="Arial" w:hAnsi="Arial" w:cs="Arial"/>
          <w:b/>
        </w:rPr>
        <w:t xml:space="preserve"> </w:t>
      </w:r>
      <w:r w:rsidRPr="00087CB1">
        <w:rPr>
          <w:rFonts w:ascii="Arial" w:hAnsi="Arial" w:cs="Arial"/>
          <w:b/>
          <w:bCs/>
        </w:rPr>
        <w:t>(</w:t>
      </w:r>
      <w:r w:rsidRPr="00087CB1">
        <w:rPr>
          <w:rFonts w:ascii="Arial" w:hAnsi="Arial" w:cs="Arial"/>
          <w:b/>
        </w:rPr>
        <w:t>Sufficient County Anchor Grouping</w:t>
      </w:r>
      <w:r w:rsidRPr="00087CB1">
        <w:rPr>
          <w:rFonts w:ascii="Arial" w:hAnsi="Arial" w:cs="Arial"/>
          <w:b/>
          <w:bCs/>
        </w:rPr>
        <w:t>)</w:t>
      </w:r>
      <w:r w:rsidRPr="00087CB1">
        <w:rPr>
          <w:rFonts w:ascii="Arial" w:hAnsi="Arial" w:cs="Arial"/>
        </w:rPr>
        <w:t>:</w:t>
      </w:r>
    </w:p>
    <w:p w14:paraId="25D03E64" w14:textId="1DB75704" w:rsidR="00C662AE" w:rsidRPr="00087CB1" w:rsidRDefault="00C662AE" w:rsidP="00583120">
      <w:pPr>
        <w:spacing w:after="240"/>
        <w:textAlignment w:val="baseline"/>
        <w:rPr>
          <w:rFonts w:ascii="Arial" w:hAnsi="Arial" w:cs="Arial"/>
        </w:rPr>
      </w:pPr>
      <w:r w:rsidRPr="00087CB1">
        <w:rPr>
          <w:rFonts w:ascii="Arial" w:hAnsi="Arial" w:cs="Arial"/>
          <w:b/>
          <w:bCs/>
        </w:rPr>
        <w:t>Table H</w:t>
      </w:r>
      <w:r w:rsidRPr="00087CB1">
        <w:rPr>
          <w:rFonts w:ascii="Arial" w:hAnsi="Arial" w:cs="Arial"/>
        </w:rPr>
        <w:t xml:space="preserve"> below presents an example calculation for a combined county capacity measurement based on multiple deficient CEAC counties and </w:t>
      </w:r>
      <w:r w:rsidRPr="00087CB1">
        <w:rPr>
          <w:rFonts w:ascii="Arial" w:hAnsi="Arial" w:cs="Arial"/>
          <w:strike/>
        </w:rPr>
        <w:t xml:space="preserve">an anchor </w:t>
      </w:r>
      <w:r w:rsidR="00C0125C" w:rsidRPr="00087CB1">
        <w:rPr>
          <w:rFonts w:ascii="Arial" w:hAnsi="Arial" w:cs="Arial"/>
          <w:u w:val="single"/>
        </w:rPr>
        <w:t xml:space="preserve">a </w:t>
      </w:r>
      <w:r w:rsidRPr="00087CB1">
        <w:rPr>
          <w:rFonts w:ascii="Arial" w:hAnsi="Arial" w:cs="Arial"/>
        </w:rPr>
        <w:t xml:space="preserve">sufficient county </w:t>
      </w:r>
      <w:r w:rsidR="00AD791D" w:rsidRPr="00087CB1">
        <w:rPr>
          <w:rFonts w:ascii="Arial" w:hAnsi="Arial" w:cs="Arial"/>
          <w:u w:val="single"/>
        </w:rPr>
        <w:t xml:space="preserve">anchor </w:t>
      </w:r>
      <w:r w:rsidRPr="00087CB1">
        <w:rPr>
          <w:rFonts w:ascii="Arial" w:hAnsi="Arial" w:cs="Arial"/>
        </w:rPr>
        <w:t>that is adjacent to each of the deficient counties.</w:t>
      </w:r>
    </w:p>
    <w:p w14:paraId="40F64E4E" w14:textId="77F8FCCD" w:rsidR="00C662AE" w:rsidRPr="00087CB1" w:rsidRDefault="00C662AE" w:rsidP="00523E39">
      <w:pPr>
        <w:spacing w:after="240"/>
        <w:textAlignment w:val="baseline"/>
        <w:rPr>
          <w:rFonts w:ascii="Arial" w:hAnsi="Arial" w:cs="Arial"/>
          <w:strike/>
        </w:rPr>
      </w:pPr>
      <w:r w:rsidRPr="00087CB1">
        <w:rPr>
          <w:rFonts w:ascii="Arial" w:hAnsi="Arial" w:cs="Arial"/>
        </w:rPr>
        <w:t>Table H</w:t>
      </w:r>
      <w:r w:rsidRPr="00087CB1">
        <w:rPr>
          <w:rFonts w:ascii="Arial" w:hAnsi="Arial" w:cs="Arial"/>
          <w:b/>
          <w:bCs/>
        </w:rPr>
        <w:t xml:space="preserve"> </w:t>
      </w:r>
      <w:r w:rsidRPr="00087CB1">
        <w:rPr>
          <w:rFonts w:ascii="Arial" w:hAnsi="Arial" w:cs="Arial"/>
        </w:rPr>
        <w:t xml:space="preserve">continues with the hypothetical network counties depicted in the example tables within Schedules A, A-1, A-2, and A-3, with the addition of Trinity County. Trinity County </w:t>
      </w:r>
      <w:r w:rsidRPr="00087CB1">
        <w:rPr>
          <w:rFonts w:ascii="Arial" w:hAnsi="Arial" w:cs="Arial"/>
        </w:rPr>
        <w:lastRenderedPageBreak/>
        <w:t xml:space="preserve">has 80 enrollees but does not have any </w:t>
      </w:r>
      <w:r w:rsidR="001E4B14" w:rsidRPr="00087CB1">
        <w:rPr>
          <w:rFonts w:ascii="Arial" w:hAnsi="Arial" w:cs="Arial"/>
        </w:rPr>
        <w:t>C</w:t>
      </w:r>
      <w:r w:rsidRPr="00087CB1">
        <w:rPr>
          <w:rFonts w:ascii="Arial" w:hAnsi="Arial" w:cs="Arial"/>
        </w:rPr>
        <w:t xml:space="preserve">ounseling MHPs in the county. Since Trinity County is a CEAC county, it qualifies as a deficient county that can combine with adjacent counties. Siskiyou county, which is also a CEAC county, shows a deficient capacity at one FTE </w:t>
      </w:r>
      <w:r w:rsidR="001E4B14" w:rsidRPr="00087CB1">
        <w:rPr>
          <w:rFonts w:ascii="Arial" w:hAnsi="Arial" w:cs="Arial"/>
        </w:rPr>
        <w:t>C</w:t>
      </w:r>
      <w:r w:rsidRPr="00087CB1">
        <w:rPr>
          <w:rFonts w:ascii="Arial" w:hAnsi="Arial" w:cs="Arial"/>
        </w:rPr>
        <w:t xml:space="preserve">ounseling MHP per 1,250 enrollees. Both are adjacent to Shasta County, which after adjustments for EPs and high enrollment shows a capacity ratio of one FTE </w:t>
      </w:r>
      <w:r w:rsidR="001E4B14" w:rsidRPr="00087CB1">
        <w:rPr>
          <w:rFonts w:ascii="Arial" w:hAnsi="Arial" w:cs="Arial"/>
        </w:rPr>
        <w:t>C</w:t>
      </w:r>
      <w:r w:rsidRPr="00087CB1">
        <w:rPr>
          <w:rFonts w:ascii="Arial" w:hAnsi="Arial" w:cs="Arial"/>
        </w:rPr>
        <w:t xml:space="preserve">ounseling MHP per </w:t>
      </w:r>
      <w:r w:rsidR="00DB5A69" w:rsidRPr="00087CB1">
        <w:rPr>
          <w:rFonts w:ascii="Arial" w:hAnsi="Arial" w:cs="Arial"/>
          <w:strike/>
        </w:rPr>
        <w:t xml:space="preserve">811 </w:t>
      </w:r>
      <w:r w:rsidR="00127426" w:rsidRPr="00087CB1">
        <w:rPr>
          <w:rFonts w:ascii="Arial" w:hAnsi="Arial" w:cs="Arial"/>
          <w:u w:val="single"/>
        </w:rPr>
        <w:t>801</w:t>
      </w:r>
      <w:r w:rsidRPr="00087CB1">
        <w:rPr>
          <w:rFonts w:ascii="Arial" w:hAnsi="Arial" w:cs="Arial"/>
          <w:u w:val="single"/>
        </w:rPr>
        <w:t xml:space="preserve"> </w:t>
      </w:r>
      <w:r w:rsidRPr="00087CB1">
        <w:rPr>
          <w:rFonts w:ascii="Arial" w:hAnsi="Arial" w:cs="Arial"/>
        </w:rPr>
        <w:t xml:space="preserve">enrollees. The combined enrollment for these counties is 3,480. The </w:t>
      </w:r>
      <w:r w:rsidRPr="00087CB1">
        <w:rPr>
          <w:rFonts w:ascii="Arial" w:hAnsi="Arial" w:cs="Arial"/>
          <w:strike/>
        </w:rPr>
        <w:t xml:space="preserve">combined </w:t>
      </w:r>
      <w:r w:rsidR="00532E7A" w:rsidRPr="00087CB1">
        <w:rPr>
          <w:rFonts w:ascii="Arial" w:hAnsi="Arial" w:cs="Arial"/>
          <w:u w:val="single"/>
        </w:rPr>
        <w:t xml:space="preserve">in-person </w:t>
      </w:r>
      <w:r w:rsidRPr="00087CB1">
        <w:rPr>
          <w:rFonts w:ascii="Arial" w:hAnsi="Arial" w:cs="Arial"/>
        </w:rPr>
        <w:t xml:space="preserve">FTE value for </w:t>
      </w:r>
      <w:r w:rsidR="000E6F3F" w:rsidRPr="00087CB1">
        <w:rPr>
          <w:rFonts w:ascii="Arial" w:hAnsi="Arial" w:cs="Arial"/>
          <w:u w:val="single"/>
        </w:rPr>
        <w:t>Siskiyou County</w:t>
      </w:r>
      <w:r w:rsidR="007264F8" w:rsidRPr="00087CB1">
        <w:rPr>
          <w:rFonts w:ascii="Arial" w:hAnsi="Arial" w:cs="Arial"/>
          <w:u w:val="single"/>
        </w:rPr>
        <w:t xml:space="preserve"> is .32. The </w:t>
      </w:r>
      <w:r w:rsidR="007754B8" w:rsidRPr="00087CB1">
        <w:rPr>
          <w:rFonts w:ascii="Arial" w:hAnsi="Arial" w:cs="Arial"/>
          <w:u w:val="single"/>
        </w:rPr>
        <w:t>telehealth modifier f</w:t>
      </w:r>
      <w:r w:rsidR="00900E79" w:rsidRPr="00087CB1">
        <w:rPr>
          <w:rFonts w:ascii="Arial" w:hAnsi="Arial" w:cs="Arial"/>
          <w:u w:val="single"/>
        </w:rPr>
        <w:t>or Siskiyou is 0.016, equaling 0.336. The in-person value for Shasta County is 3.62</w:t>
      </w:r>
      <w:r w:rsidR="0015256E" w:rsidRPr="00087CB1">
        <w:rPr>
          <w:rFonts w:ascii="Arial" w:hAnsi="Arial" w:cs="Arial"/>
          <w:u w:val="single"/>
        </w:rPr>
        <w:t>, with a telehealth ratio modifier value of 0.1275</w:t>
      </w:r>
      <w:r w:rsidR="008F0D84" w:rsidRPr="00087CB1">
        <w:rPr>
          <w:rFonts w:ascii="Arial" w:hAnsi="Arial" w:cs="Arial"/>
          <w:u w:val="single"/>
        </w:rPr>
        <w:t>, equaling 3.74</w:t>
      </w:r>
      <w:r w:rsidR="006F5A8E" w:rsidRPr="00087CB1">
        <w:rPr>
          <w:rFonts w:ascii="Arial" w:hAnsi="Arial" w:cs="Arial"/>
          <w:u w:val="single"/>
        </w:rPr>
        <w:t>7</w:t>
      </w:r>
      <w:r w:rsidR="008F0D84" w:rsidRPr="00087CB1">
        <w:rPr>
          <w:rFonts w:ascii="Arial" w:hAnsi="Arial" w:cs="Arial"/>
          <w:u w:val="single"/>
        </w:rPr>
        <w:t>5</w:t>
      </w:r>
      <w:r w:rsidR="0015256E" w:rsidRPr="00087CB1">
        <w:rPr>
          <w:rFonts w:ascii="Arial" w:hAnsi="Arial" w:cs="Arial"/>
          <w:u w:val="single"/>
        </w:rPr>
        <w:t>.</w:t>
      </w:r>
      <w:r w:rsidR="008F0D84" w:rsidRPr="00087CB1">
        <w:rPr>
          <w:rFonts w:ascii="Arial" w:hAnsi="Arial" w:cs="Arial"/>
          <w:strike/>
          <w:u w:val="single"/>
        </w:rPr>
        <w:t xml:space="preserve"> </w:t>
      </w:r>
      <w:r w:rsidRPr="00087CB1">
        <w:rPr>
          <w:rFonts w:ascii="Arial" w:hAnsi="Arial" w:cs="Arial"/>
          <w:strike/>
        </w:rPr>
        <w:t xml:space="preserve">these counties is 3.94, with a combined </w:t>
      </w:r>
      <w:r w:rsidR="00BE2BB4" w:rsidRPr="00087CB1">
        <w:rPr>
          <w:rFonts w:ascii="Arial" w:hAnsi="Arial" w:cs="Arial"/>
          <w:strike/>
          <w:u w:val="single"/>
        </w:rPr>
        <w:t>t</w:t>
      </w:r>
      <w:r w:rsidRPr="00087CB1">
        <w:rPr>
          <w:rFonts w:ascii="Arial" w:hAnsi="Arial" w:cs="Arial"/>
          <w:strike/>
        </w:rPr>
        <w:t xml:space="preserve">elehealth ratio modifier value of </w:t>
      </w:r>
      <w:r w:rsidR="00DA5117" w:rsidRPr="00087CB1">
        <w:rPr>
          <w:rFonts w:ascii="Arial" w:hAnsi="Arial" w:cs="Arial"/>
          <w:strike/>
        </w:rPr>
        <w:t>0.1</w:t>
      </w:r>
      <w:r w:rsidR="00AB1AD5" w:rsidRPr="00087CB1">
        <w:rPr>
          <w:rFonts w:ascii="Arial" w:hAnsi="Arial" w:cs="Arial"/>
          <w:strike/>
        </w:rPr>
        <w:t>,</w:t>
      </w:r>
      <w:r w:rsidR="002804DB" w:rsidRPr="00087CB1">
        <w:rPr>
          <w:rFonts w:ascii="Arial" w:hAnsi="Arial" w:cs="Arial"/>
          <w:strike/>
        </w:rPr>
        <w:t xml:space="preserve"> derived from the summed telehealth ratio modifiers for the counties</w:t>
      </w:r>
      <w:r w:rsidR="002804DB" w:rsidRPr="00087CB1">
        <w:rPr>
          <w:rFonts w:ascii="Arial" w:hAnsi="Arial" w:cs="Arial"/>
        </w:rPr>
        <w:t>.</w:t>
      </w:r>
      <w:r w:rsidR="00E471ED" w:rsidRPr="00087CB1">
        <w:rPr>
          <w:rFonts w:ascii="Arial" w:hAnsi="Arial" w:cs="Arial"/>
        </w:rPr>
        <w:t xml:space="preserve"> </w:t>
      </w:r>
    </w:p>
    <w:p w14:paraId="378A7071" w14:textId="1787E0FD" w:rsidR="00182AC2" w:rsidRPr="00087CB1" w:rsidRDefault="00182AC2" w:rsidP="00583120">
      <w:pPr>
        <w:spacing w:before="240" w:after="240"/>
        <w:textAlignment w:val="baseline"/>
        <w:rPr>
          <w:rFonts w:ascii="Arial" w:hAnsi="Arial" w:cs="Arial"/>
          <w:b/>
          <w:bCs/>
          <w:u w:val="single"/>
        </w:rPr>
      </w:pPr>
      <w:r w:rsidRPr="00087CB1">
        <w:rPr>
          <w:rFonts w:ascii="Arial" w:hAnsi="Arial" w:cs="Arial"/>
          <w:b/>
          <w:bCs/>
          <w:u w:val="single"/>
        </w:rPr>
        <w:t>Outcome of Example 5: Combined County Ratio</w:t>
      </w:r>
    </w:p>
    <w:p w14:paraId="75D1CB63" w14:textId="415CA912" w:rsidR="00BA1B4B" w:rsidRPr="00087CB1" w:rsidRDefault="00C662AE" w:rsidP="00583120">
      <w:pPr>
        <w:spacing w:after="240"/>
        <w:rPr>
          <w:rFonts w:ascii="Arial" w:hAnsi="Arial" w:cs="Arial"/>
          <w:strike/>
        </w:rPr>
      </w:pPr>
      <w:r w:rsidRPr="00087CB1">
        <w:rPr>
          <w:rFonts w:ascii="Arial" w:hAnsi="Arial" w:cs="Arial"/>
        </w:rPr>
        <w:t xml:space="preserve">When combining the FTE values, all applicable FTE alternative ratio adjustments will be applied. In this example, there are no FTE adjustments for Siskiyou County but Shasta County has adjustments for EPs and high enrollment. The capacity ratio calculation is: </w:t>
      </w:r>
      <w:r w:rsidR="00D7520A" w:rsidRPr="00087CB1">
        <w:rPr>
          <w:rFonts w:ascii="Arial" w:hAnsi="Arial" w:cs="Arial"/>
          <w:strike/>
        </w:rPr>
        <w:t xml:space="preserve">3,480/4.036 = 861 </w:t>
      </w:r>
      <w:r w:rsidRPr="00087CB1">
        <w:rPr>
          <w:rFonts w:ascii="Arial" w:hAnsi="Arial" w:cs="Arial"/>
          <w:u w:val="single"/>
        </w:rPr>
        <w:t>3,480</w:t>
      </w:r>
      <w:r w:rsidR="00CA736F" w:rsidRPr="00087CB1">
        <w:rPr>
          <w:rFonts w:ascii="Arial" w:hAnsi="Arial" w:cs="Arial"/>
          <w:u w:val="single"/>
        </w:rPr>
        <w:t xml:space="preserve"> ÷ </w:t>
      </w:r>
      <w:r w:rsidR="004507CC" w:rsidRPr="00087CB1">
        <w:rPr>
          <w:rFonts w:ascii="Arial" w:hAnsi="Arial" w:cs="Arial"/>
          <w:u w:val="single"/>
        </w:rPr>
        <w:t>4.0835</w:t>
      </w:r>
      <w:r w:rsidRPr="00087CB1">
        <w:rPr>
          <w:rFonts w:ascii="Arial" w:hAnsi="Arial" w:cs="Arial"/>
          <w:u w:val="single"/>
        </w:rPr>
        <w:t xml:space="preserve"> = </w:t>
      </w:r>
      <w:r w:rsidR="00A1163A" w:rsidRPr="00087CB1">
        <w:rPr>
          <w:rFonts w:ascii="Arial" w:hAnsi="Arial" w:cs="Arial"/>
          <w:u w:val="single"/>
        </w:rPr>
        <w:t>853</w:t>
      </w:r>
      <w:r w:rsidRPr="00087CB1">
        <w:rPr>
          <w:rFonts w:ascii="Arial" w:hAnsi="Arial" w:cs="Arial"/>
        </w:rPr>
        <w:t>.</w:t>
      </w:r>
      <w:r w:rsidR="00E23FFC" w:rsidRPr="00087CB1">
        <w:rPr>
          <w:rFonts w:ascii="Arial" w:hAnsi="Arial" w:cs="Arial"/>
        </w:rPr>
        <w:t xml:space="preserve"> This ratio is derived by summing the total FTE from all three of the counties resulting in a combined ratio.</w:t>
      </w:r>
      <w:r w:rsidR="00363441" w:rsidRPr="00087CB1">
        <w:rPr>
          <w:rFonts w:ascii="Arial" w:hAnsi="Arial" w:cs="Arial"/>
        </w:rPr>
        <w:t xml:space="preserve"> </w:t>
      </w:r>
      <w:r w:rsidR="00E23FFC" w:rsidRPr="00087CB1">
        <w:rPr>
          <w:rFonts w:ascii="Arial" w:hAnsi="Arial" w:cs="Arial"/>
        </w:rPr>
        <w:t xml:space="preserve">Using this summed ratio, all three network service area counties meet the FTE ratio standard, with a ratio of 1 FTE Counseling MHP to </w:t>
      </w:r>
      <w:r w:rsidR="00823885" w:rsidRPr="002D4C31">
        <w:rPr>
          <w:rFonts w:ascii="Arial" w:hAnsi="Arial" w:cs="Arial"/>
          <w:strike/>
        </w:rPr>
        <w:t>861</w:t>
      </w:r>
      <w:r w:rsidR="00823885" w:rsidRPr="00087CB1">
        <w:rPr>
          <w:rFonts w:ascii="Arial" w:hAnsi="Arial" w:cs="Arial"/>
          <w:strike/>
        </w:rPr>
        <w:t xml:space="preserve"> </w:t>
      </w:r>
      <w:r w:rsidR="00920588" w:rsidRPr="00087CB1">
        <w:rPr>
          <w:rFonts w:ascii="Arial" w:hAnsi="Arial" w:cs="Arial"/>
          <w:u w:val="single"/>
        </w:rPr>
        <w:t>853</w:t>
      </w:r>
      <w:r w:rsidR="00E23FFC" w:rsidRPr="00087CB1">
        <w:rPr>
          <w:rFonts w:ascii="Arial" w:hAnsi="Arial" w:cs="Arial"/>
          <w:u w:val="single"/>
        </w:rPr>
        <w:t xml:space="preserve"> </w:t>
      </w:r>
      <w:r w:rsidR="00E23FFC" w:rsidRPr="00087CB1">
        <w:rPr>
          <w:rFonts w:ascii="Arial" w:hAnsi="Arial" w:cs="Arial"/>
        </w:rPr>
        <w:t>enrollees.</w:t>
      </w:r>
    </w:p>
    <w:p w14:paraId="48F06230" w14:textId="77777777" w:rsidR="008057A5" w:rsidRDefault="008057A5" w:rsidP="00583120">
      <w:pPr>
        <w:spacing w:after="160"/>
        <w:rPr>
          <w:rFonts w:ascii="Arial" w:hAnsi="Arial" w:cs="Arial"/>
        </w:rPr>
      </w:pPr>
      <w:r>
        <w:rPr>
          <w:rFonts w:ascii="Arial" w:hAnsi="Arial" w:cs="Arial"/>
        </w:rPr>
        <w:br w:type="page"/>
      </w:r>
    </w:p>
    <w:p w14:paraId="238123DD" w14:textId="77777777" w:rsidR="00C662AE" w:rsidRPr="0045472C" w:rsidRDefault="00C662AE" w:rsidP="00583120">
      <w:pPr>
        <w:spacing w:after="120"/>
        <w:jc w:val="center"/>
        <w:textAlignment w:val="baseline"/>
        <w:rPr>
          <w:rFonts w:ascii="Arial" w:hAnsi="Arial" w:cs="Arial"/>
          <w:b/>
        </w:rPr>
      </w:pPr>
      <w:r w:rsidRPr="0045472C">
        <w:rPr>
          <w:rFonts w:ascii="Arial" w:hAnsi="Arial" w:cs="Arial"/>
          <w:b/>
          <w:bCs/>
        </w:rPr>
        <w:lastRenderedPageBreak/>
        <w:t>Table H: Example Combined County Calculation for a Sufficient County Anchor Grouping*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H"/>
        <w:tblDescription w:val="Table H: Example Combined County Calculation for a Sufficient County Anchor Grouping"/>
      </w:tblPr>
      <w:tblGrid>
        <w:gridCol w:w="3329"/>
        <w:gridCol w:w="2130"/>
        <w:gridCol w:w="2223"/>
        <w:gridCol w:w="2038"/>
      </w:tblGrid>
      <w:tr w:rsidR="00C662AE" w:rsidRPr="0045472C" w14:paraId="6EC30B28" w14:textId="77777777" w:rsidTr="008964EA">
        <w:trPr>
          <w:trHeight w:val="1007"/>
          <w:tblHeader/>
        </w:trPr>
        <w:tc>
          <w:tcPr>
            <w:tcW w:w="3235" w:type="dxa"/>
            <w:shd w:val="clear" w:color="auto" w:fill="035530"/>
            <w:vAlign w:val="center"/>
            <w:hideMark/>
          </w:tcPr>
          <w:p w14:paraId="2C49AAEE" w14:textId="5452668B" w:rsidR="00C662AE" w:rsidRPr="00656D92" w:rsidRDefault="00C662AE" w:rsidP="00583120">
            <w:pPr>
              <w:jc w:val="center"/>
              <w:textAlignment w:val="baseline"/>
              <w:rPr>
                <w:rFonts w:ascii="Arial" w:hAnsi="Arial" w:cs="Arial"/>
                <w:color w:val="FFFFFF" w:themeColor="background1"/>
              </w:rPr>
            </w:pPr>
            <w:r w:rsidRPr="00656D92">
              <w:rPr>
                <w:rFonts w:ascii="Arial" w:hAnsi="Arial" w:cs="Arial"/>
                <w:color w:val="FFFFFF" w:themeColor="background1"/>
              </w:rPr>
              <w:t> </w:t>
            </w:r>
          </w:p>
        </w:tc>
        <w:tc>
          <w:tcPr>
            <w:tcW w:w="2070" w:type="dxa"/>
            <w:shd w:val="clear" w:color="auto" w:fill="035530"/>
            <w:vAlign w:val="center"/>
            <w:hideMark/>
          </w:tcPr>
          <w:p w14:paraId="212F378B" w14:textId="77777777" w:rsidR="00C662AE" w:rsidRPr="00656D92" w:rsidRDefault="00C662AE" w:rsidP="00583120">
            <w:pPr>
              <w:jc w:val="center"/>
              <w:textAlignment w:val="baseline"/>
              <w:rPr>
                <w:rFonts w:ascii="Arial" w:hAnsi="Arial" w:cs="Arial"/>
                <w:color w:val="FFFFFF" w:themeColor="background1"/>
              </w:rPr>
            </w:pPr>
            <w:r w:rsidRPr="00656D92">
              <w:rPr>
                <w:rFonts w:ascii="Arial" w:hAnsi="Arial" w:cs="Arial"/>
                <w:b/>
                <w:color w:val="FFFFFF" w:themeColor="background1"/>
              </w:rPr>
              <w:t>Siskiyou, Deficient CEAC County</w:t>
            </w:r>
          </w:p>
        </w:tc>
        <w:tc>
          <w:tcPr>
            <w:tcW w:w="2160" w:type="dxa"/>
            <w:shd w:val="clear" w:color="auto" w:fill="035530"/>
            <w:vAlign w:val="center"/>
            <w:hideMark/>
          </w:tcPr>
          <w:p w14:paraId="2B728320" w14:textId="77777777" w:rsidR="00C662AE" w:rsidRPr="0045472C" w:rsidRDefault="00C662AE" w:rsidP="00583120">
            <w:pPr>
              <w:jc w:val="center"/>
              <w:textAlignment w:val="baseline"/>
              <w:rPr>
                <w:rFonts w:ascii="Arial" w:hAnsi="Arial" w:cs="Arial"/>
              </w:rPr>
            </w:pPr>
            <w:r w:rsidRPr="0045472C">
              <w:rPr>
                <w:rFonts w:ascii="Arial" w:hAnsi="Arial" w:cs="Arial"/>
                <w:b/>
                <w:color w:val="FFFFFF"/>
              </w:rPr>
              <w:t>Trinity, Deficient CEAC County</w:t>
            </w:r>
          </w:p>
        </w:tc>
        <w:tc>
          <w:tcPr>
            <w:tcW w:w="1980" w:type="dxa"/>
            <w:shd w:val="clear" w:color="auto" w:fill="035530"/>
            <w:vAlign w:val="center"/>
            <w:hideMark/>
          </w:tcPr>
          <w:p w14:paraId="631D1BDE" w14:textId="77777777" w:rsidR="00C662AE" w:rsidRPr="0045472C" w:rsidRDefault="00C662AE" w:rsidP="00583120">
            <w:pPr>
              <w:jc w:val="center"/>
              <w:textAlignment w:val="baseline"/>
              <w:rPr>
                <w:rFonts w:ascii="Arial" w:hAnsi="Arial" w:cs="Arial"/>
              </w:rPr>
            </w:pPr>
            <w:r w:rsidRPr="0045472C">
              <w:rPr>
                <w:rFonts w:ascii="Arial" w:hAnsi="Arial" w:cs="Arial"/>
                <w:b/>
                <w:color w:val="FFFFFF"/>
              </w:rPr>
              <w:t>Shasta, Sufficient Anchor County</w:t>
            </w:r>
            <w:r w:rsidRPr="0045472C">
              <w:rPr>
                <w:rFonts w:ascii="Arial" w:hAnsi="Arial" w:cs="Arial"/>
                <w:color w:val="FFFFFF"/>
              </w:rPr>
              <w:t> </w:t>
            </w:r>
          </w:p>
        </w:tc>
      </w:tr>
      <w:tr w:rsidR="00656D92" w:rsidRPr="00052130" w14:paraId="3AFD7CE6" w14:textId="77777777" w:rsidTr="00C96C2C">
        <w:trPr>
          <w:trHeight w:val="1008"/>
        </w:trPr>
        <w:tc>
          <w:tcPr>
            <w:tcW w:w="3235" w:type="dxa"/>
            <w:vAlign w:val="center"/>
          </w:tcPr>
          <w:p w14:paraId="4B8FF2DE" w14:textId="77777777" w:rsidR="00C662AE" w:rsidRPr="00052130" w:rsidRDefault="00C662AE" w:rsidP="00583120">
            <w:pPr>
              <w:jc w:val="center"/>
              <w:textAlignment w:val="baseline"/>
              <w:rPr>
                <w:rFonts w:ascii="Arial" w:hAnsi="Arial" w:cs="Arial"/>
              </w:rPr>
            </w:pPr>
            <w:r w:rsidRPr="00052130">
              <w:rPr>
                <w:rFonts w:ascii="Arial" w:hAnsi="Arial" w:cs="Arial"/>
              </w:rPr>
              <w:t>Enrollment</w:t>
            </w:r>
          </w:p>
        </w:tc>
        <w:tc>
          <w:tcPr>
            <w:tcW w:w="2070" w:type="dxa"/>
            <w:vAlign w:val="center"/>
          </w:tcPr>
          <w:p w14:paraId="6C6519DE" w14:textId="77777777" w:rsidR="00C662AE" w:rsidRPr="00052130" w:rsidRDefault="00C662AE" w:rsidP="00583120">
            <w:pPr>
              <w:jc w:val="center"/>
              <w:textAlignment w:val="baseline"/>
              <w:rPr>
                <w:rFonts w:ascii="Arial" w:hAnsi="Arial" w:cs="Arial"/>
              </w:rPr>
            </w:pPr>
            <w:r w:rsidRPr="00052130">
              <w:rPr>
                <w:rFonts w:ascii="Arial" w:hAnsi="Arial" w:cs="Arial"/>
              </w:rPr>
              <w:t>400</w:t>
            </w:r>
          </w:p>
        </w:tc>
        <w:tc>
          <w:tcPr>
            <w:tcW w:w="2160" w:type="dxa"/>
            <w:vAlign w:val="center"/>
          </w:tcPr>
          <w:p w14:paraId="7D9E5713" w14:textId="77777777" w:rsidR="00C662AE" w:rsidRPr="00052130" w:rsidRDefault="00C662AE" w:rsidP="00583120">
            <w:pPr>
              <w:jc w:val="center"/>
              <w:textAlignment w:val="baseline"/>
              <w:rPr>
                <w:rFonts w:ascii="Arial" w:hAnsi="Arial" w:cs="Arial"/>
              </w:rPr>
            </w:pPr>
            <w:r w:rsidRPr="00052130">
              <w:rPr>
                <w:rFonts w:ascii="Arial" w:hAnsi="Arial" w:cs="Arial"/>
              </w:rPr>
              <w:t>80</w:t>
            </w:r>
          </w:p>
        </w:tc>
        <w:tc>
          <w:tcPr>
            <w:tcW w:w="1980" w:type="dxa"/>
            <w:vAlign w:val="center"/>
          </w:tcPr>
          <w:p w14:paraId="3E7F76CD" w14:textId="77777777" w:rsidR="00C662AE" w:rsidRPr="00052130" w:rsidRDefault="00C662AE" w:rsidP="00583120">
            <w:pPr>
              <w:jc w:val="center"/>
              <w:textAlignment w:val="baseline"/>
              <w:rPr>
                <w:rFonts w:ascii="Arial" w:hAnsi="Arial" w:cs="Arial"/>
              </w:rPr>
            </w:pPr>
            <w:r w:rsidRPr="00052130">
              <w:rPr>
                <w:rFonts w:ascii="Arial" w:hAnsi="Arial" w:cs="Arial"/>
              </w:rPr>
              <w:t>3,000</w:t>
            </w:r>
          </w:p>
        </w:tc>
      </w:tr>
      <w:tr w:rsidR="00656D92" w:rsidRPr="00052130" w14:paraId="41F3976D" w14:textId="77777777" w:rsidTr="00C96C2C">
        <w:trPr>
          <w:trHeight w:val="1008"/>
        </w:trPr>
        <w:tc>
          <w:tcPr>
            <w:tcW w:w="3235" w:type="dxa"/>
            <w:vAlign w:val="center"/>
          </w:tcPr>
          <w:p w14:paraId="29AD6902" w14:textId="77777777" w:rsidR="00C662AE" w:rsidRPr="00052130" w:rsidRDefault="00C662AE" w:rsidP="00583120">
            <w:pPr>
              <w:jc w:val="center"/>
              <w:textAlignment w:val="baseline"/>
              <w:rPr>
                <w:rFonts w:ascii="Arial" w:hAnsi="Arial" w:cs="Arial"/>
              </w:rPr>
            </w:pPr>
            <w:r w:rsidRPr="00052130">
              <w:rPr>
                <w:rFonts w:ascii="Arial" w:hAnsi="Arial" w:cs="Arial"/>
              </w:rPr>
              <w:t>Full-Value Provider Count: Counseling MHPs</w:t>
            </w:r>
          </w:p>
        </w:tc>
        <w:tc>
          <w:tcPr>
            <w:tcW w:w="2070" w:type="dxa"/>
            <w:vAlign w:val="center"/>
          </w:tcPr>
          <w:p w14:paraId="7CA24950" w14:textId="77777777" w:rsidR="00C662AE" w:rsidRPr="00052130" w:rsidRDefault="00C662AE" w:rsidP="00583120">
            <w:pPr>
              <w:jc w:val="center"/>
              <w:textAlignment w:val="baseline"/>
              <w:rPr>
                <w:rFonts w:ascii="Arial" w:hAnsi="Arial" w:cs="Arial"/>
              </w:rPr>
            </w:pPr>
            <w:r w:rsidRPr="00052130">
              <w:rPr>
                <w:rFonts w:ascii="Arial" w:hAnsi="Arial" w:cs="Arial"/>
              </w:rPr>
              <w:t>2</w:t>
            </w:r>
          </w:p>
        </w:tc>
        <w:tc>
          <w:tcPr>
            <w:tcW w:w="2160" w:type="dxa"/>
            <w:vAlign w:val="center"/>
          </w:tcPr>
          <w:p w14:paraId="78E38F39" w14:textId="77777777" w:rsidR="00C662AE" w:rsidRPr="00052130" w:rsidRDefault="00C662AE" w:rsidP="00583120">
            <w:pPr>
              <w:jc w:val="center"/>
              <w:textAlignment w:val="baseline"/>
              <w:rPr>
                <w:rFonts w:ascii="Arial" w:hAnsi="Arial" w:cs="Arial"/>
              </w:rPr>
            </w:pPr>
            <w:r w:rsidRPr="00052130">
              <w:rPr>
                <w:rFonts w:ascii="Arial" w:hAnsi="Arial" w:cs="Arial"/>
              </w:rPr>
              <w:t>0</w:t>
            </w:r>
          </w:p>
        </w:tc>
        <w:tc>
          <w:tcPr>
            <w:tcW w:w="1980" w:type="dxa"/>
            <w:vAlign w:val="center"/>
          </w:tcPr>
          <w:p w14:paraId="4CFA8600" w14:textId="77777777" w:rsidR="00C662AE" w:rsidRPr="00052130" w:rsidRDefault="00C662AE" w:rsidP="00583120">
            <w:pPr>
              <w:jc w:val="center"/>
              <w:textAlignment w:val="baseline"/>
              <w:rPr>
                <w:rFonts w:ascii="Arial" w:hAnsi="Arial" w:cs="Arial"/>
              </w:rPr>
            </w:pPr>
            <w:r w:rsidRPr="00052130">
              <w:rPr>
                <w:rFonts w:ascii="Arial" w:hAnsi="Arial" w:cs="Arial"/>
              </w:rPr>
              <w:t>15</w:t>
            </w:r>
          </w:p>
        </w:tc>
      </w:tr>
      <w:tr w:rsidR="00656D92" w:rsidRPr="00052130" w14:paraId="01CAF797" w14:textId="77777777" w:rsidTr="00C96C2C">
        <w:trPr>
          <w:trHeight w:val="1008"/>
        </w:trPr>
        <w:tc>
          <w:tcPr>
            <w:tcW w:w="3235" w:type="dxa"/>
            <w:vAlign w:val="center"/>
            <w:hideMark/>
          </w:tcPr>
          <w:p w14:paraId="3904F9E1" w14:textId="6EE227BA" w:rsidR="00C662AE" w:rsidRPr="00052130" w:rsidRDefault="00C662AE" w:rsidP="00583120">
            <w:pPr>
              <w:jc w:val="center"/>
              <w:textAlignment w:val="baseline"/>
              <w:rPr>
                <w:rFonts w:ascii="Arial" w:hAnsi="Arial" w:cs="Arial"/>
              </w:rPr>
            </w:pPr>
            <w:r w:rsidRPr="00052130">
              <w:rPr>
                <w:rFonts w:ascii="Arial" w:hAnsi="Arial" w:cs="Arial"/>
              </w:rPr>
              <w:t xml:space="preserve">Total FTEs, Calculated in </w:t>
            </w:r>
            <w:r w:rsidR="00B30C79" w:rsidRPr="00052130">
              <w:rPr>
                <w:rFonts w:ascii="Arial" w:hAnsi="Arial" w:cs="Arial"/>
                <w:u w:val="single"/>
              </w:rPr>
              <w:t>Schedule A,</w:t>
            </w:r>
            <w:r w:rsidR="00B30C79" w:rsidRPr="00052130">
              <w:rPr>
                <w:rFonts w:ascii="Arial" w:hAnsi="Arial" w:cs="Arial"/>
              </w:rPr>
              <w:t xml:space="preserve"> </w:t>
            </w:r>
            <w:r w:rsidRPr="00052130">
              <w:rPr>
                <w:rFonts w:ascii="Arial" w:hAnsi="Arial" w:cs="Arial"/>
              </w:rPr>
              <w:t>Table B</w:t>
            </w:r>
          </w:p>
        </w:tc>
        <w:tc>
          <w:tcPr>
            <w:tcW w:w="2070" w:type="dxa"/>
            <w:vAlign w:val="center"/>
            <w:hideMark/>
          </w:tcPr>
          <w:p w14:paraId="0EF2F8F2" w14:textId="77777777" w:rsidR="00C662AE" w:rsidRPr="00052130" w:rsidRDefault="00C662AE" w:rsidP="00583120">
            <w:pPr>
              <w:jc w:val="center"/>
              <w:textAlignment w:val="baseline"/>
              <w:rPr>
                <w:rFonts w:ascii="Arial" w:hAnsi="Arial" w:cs="Arial"/>
              </w:rPr>
            </w:pPr>
            <w:r w:rsidRPr="00052130">
              <w:rPr>
                <w:rFonts w:ascii="Arial" w:hAnsi="Arial" w:cs="Arial"/>
              </w:rPr>
              <w:t>0.32</w:t>
            </w:r>
          </w:p>
        </w:tc>
        <w:tc>
          <w:tcPr>
            <w:tcW w:w="2160" w:type="dxa"/>
            <w:vAlign w:val="center"/>
            <w:hideMark/>
          </w:tcPr>
          <w:p w14:paraId="1A4504FA" w14:textId="77777777" w:rsidR="00C662AE" w:rsidRPr="00052130" w:rsidRDefault="00C662AE" w:rsidP="00583120">
            <w:pPr>
              <w:jc w:val="center"/>
              <w:textAlignment w:val="baseline"/>
              <w:rPr>
                <w:rFonts w:ascii="Arial" w:hAnsi="Arial" w:cs="Arial"/>
              </w:rPr>
            </w:pPr>
            <w:r w:rsidRPr="00052130">
              <w:rPr>
                <w:rFonts w:ascii="Arial" w:hAnsi="Arial" w:cs="Arial"/>
              </w:rPr>
              <w:t>0</w:t>
            </w:r>
          </w:p>
        </w:tc>
        <w:tc>
          <w:tcPr>
            <w:tcW w:w="1980" w:type="dxa"/>
            <w:vAlign w:val="center"/>
            <w:hideMark/>
          </w:tcPr>
          <w:p w14:paraId="64DCB2F9" w14:textId="77777777" w:rsidR="00C662AE" w:rsidRPr="00052130" w:rsidRDefault="00C662AE" w:rsidP="00583120">
            <w:pPr>
              <w:jc w:val="center"/>
              <w:textAlignment w:val="baseline"/>
              <w:rPr>
                <w:rFonts w:ascii="Arial" w:hAnsi="Arial" w:cs="Arial"/>
              </w:rPr>
            </w:pPr>
            <w:r w:rsidRPr="00052130">
              <w:rPr>
                <w:rFonts w:ascii="Arial" w:hAnsi="Arial" w:cs="Arial"/>
              </w:rPr>
              <w:t>1.69 </w:t>
            </w:r>
          </w:p>
        </w:tc>
      </w:tr>
      <w:tr w:rsidR="00656D92" w:rsidRPr="00052130" w14:paraId="044864CF" w14:textId="77777777" w:rsidTr="00C96C2C">
        <w:trPr>
          <w:trHeight w:val="1008"/>
        </w:trPr>
        <w:tc>
          <w:tcPr>
            <w:tcW w:w="3235" w:type="dxa"/>
            <w:vAlign w:val="center"/>
            <w:hideMark/>
          </w:tcPr>
          <w:p w14:paraId="62891C5E" w14:textId="171BEE66" w:rsidR="00C662AE" w:rsidRPr="00052130" w:rsidRDefault="00C662AE" w:rsidP="00583120">
            <w:pPr>
              <w:jc w:val="center"/>
              <w:textAlignment w:val="baseline"/>
              <w:rPr>
                <w:rFonts w:ascii="Arial" w:hAnsi="Arial" w:cs="Arial"/>
              </w:rPr>
            </w:pPr>
            <w:r w:rsidRPr="00052130">
              <w:rPr>
                <w:rFonts w:ascii="Arial" w:hAnsi="Arial" w:cs="Arial"/>
              </w:rPr>
              <w:t xml:space="preserve">Telehealth Ratio Modifier, Calculated in </w:t>
            </w:r>
            <w:r w:rsidR="002D7FAF" w:rsidRPr="00052130">
              <w:rPr>
                <w:rFonts w:ascii="Arial" w:hAnsi="Arial" w:cs="Arial"/>
                <w:u w:val="single"/>
              </w:rPr>
              <w:t>Schedule A-1,</w:t>
            </w:r>
            <w:r w:rsidR="002D7FAF" w:rsidRPr="00052130">
              <w:rPr>
                <w:rFonts w:ascii="Arial" w:hAnsi="Arial" w:cs="Arial"/>
              </w:rPr>
              <w:t xml:space="preserve"> </w:t>
            </w:r>
            <w:r w:rsidRPr="00052130">
              <w:rPr>
                <w:rFonts w:ascii="Arial" w:hAnsi="Arial" w:cs="Arial"/>
              </w:rPr>
              <w:t>Table C</w:t>
            </w:r>
          </w:p>
        </w:tc>
        <w:tc>
          <w:tcPr>
            <w:tcW w:w="2070" w:type="dxa"/>
            <w:vAlign w:val="center"/>
            <w:hideMark/>
          </w:tcPr>
          <w:p w14:paraId="41122B0D" w14:textId="77777777" w:rsidR="00C662AE" w:rsidRPr="00052130" w:rsidRDefault="00C662AE" w:rsidP="00583120">
            <w:pPr>
              <w:jc w:val="center"/>
              <w:textAlignment w:val="baseline"/>
              <w:rPr>
                <w:rFonts w:ascii="Arial" w:hAnsi="Arial" w:cs="Arial"/>
              </w:rPr>
            </w:pPr>
            <w:r w:rsidRPr="00052130">
              <w:rPr>
                <w:rFonts w:ascii="Arial" w:hAnsi="Arial" w:cs="Arial"/>
              </w:rPr>
              <w:t>0.016</w:t>
            </w:r>
          </w:p>
        </w:tc>
        <w:tc>
          <w:tcPr>
            <w:tcW w:w="2160" w:type="dxa"/>
            <w:vAlign w:val="center"/>
            <w:hideMark/>
          </w:tcPr>
          <w:p w14:paraId="710A6796" w14:textId="77777777" w:rsidR="00C662AE" w:rsidRPr="00052130" w:rsidRDefault="00C662AE" w:rsidP="00583120">
            <w:pPr>
              <w:jc w:val="center"/>
              <w:textAlignment w:val="baseline"/>
              <w:rPr>
                <w:rFonts w:ascii="Arial" w:hAnsi="Arial" w:cs="Arial"/>
              </w:rPr>
            </w:pPr>
            <w:r w:rsidRPr="00052130">
              <w:rPr>
                <w:rFonts w:ascii="Arial" w:hAnsi="Arial" w:cs="Arial"/>
              </w:rPr>
              <w:t>0</w:t>
            </w:r>
          </w:p>
        </w:tc>
        <w:tc>
          <w:tcPr>
            <w:tcW w:w="1980" w:type="dxa"/>
            <w:vAlign w:val="center"/>
            <w:hideMark/>
          </w:tcPr>
          <w:p w14:paraId="3734EBD7" w14:textId="77777777" w:rsidR="00C662AE" w:rsidRPr="00052130" w:rsidRDefault="00C662AE" w:rsidP="00583120">
            <w:pPr>
              <w:jc w:val="center"/>
              <w:textAlignment w:val="baseline"/>
              <w:rPr>
                <w:rFonts w:ascii="Arial" w:hAnsi="Arial" w:cs="Arial"/>
              </w:rPr>
            </w:pPr>
            <w:r w:rsidRPr="00052130">
              <w:rPr>
                <w:rFonts w:ascii="Arial" w:hAnsi="Arial" w:cs="Arial"/>
              </w:rPr>
              <w:t>0.085</w:t>
            </w:r>
          </w:p>
        </w:tc>
      </w:tr>
      <w:tr w:rsidR="00656D92" w:rsidRPr="00052130" w14:paraId="6D23E633" w14:textId="77777777" w:rsidTr="00C96C2C">
        <w:trPr>
          <w:trHeight w:val="1008"/>
        </w:trPr>
        <w:tc>
          <w:tcPr>
            <w:tcW w:w="3235" w:type="dxa"/>
            <w:vAlign w:val="center"/>
            <w:hideMark/>
          </w:tcPr>
          <w:p w14:paraId="68501A89" w14:textId="77777777" w:rsidR="00C662AE" w:rsidRPr="00052130" w:rsidRDefault="00C662AE" w:rsidP="00583120">
            <w:pPr>
              <w:jc w:val="center"/>
              <w:textAlignment w:val="baseline"/>
              <w:rPr>
                <w:rFonts w:ascii="Arial" w:hAnsi="Arial" w:cs="Arial"/>
              </w:rPr>
            </w:pPr>
            <w:r w:rsidRPr="00052130">
              <w:rPr>
                <w:rFonts w:ascii="Arial" w:hAnsi="Arial" w:cs="Arial"/>
              </w:rPr>
              <w:t>Total FTEs with EP adjustment, Calculated in Schedule A-2, Table E</w:t>
            </w:r>
          </w:p>
        </w:tc>
        <w:tc>
          <w:tcPr>
            <w:tcW w:w="2070" w:type="dxa"/>
            <w:vAlign w:val="center"/>
          </w:tcPr>
          <w:p w14:paraId="6416E298" w14:textId="77777777" w:rsidR="00C662AE" w:rsidRPr="00052130" w:rsidRDefault="00C662AE" w:rsidP="00583120">
            <w:pPr>
              <w:jc w:val="center"/>
              <w:textAlignment w:val="baseline"/>
              <w:rPr>
                <w:rFonts w:ascii="Arial" w:hAnsi="Arial" w:cs="Arial"/>
              </w:rPr>
            </w:pPr>
            <w:r w:rsidRPr="00052130">
              <w:rPr>
                <w:rFonts w:ascii="Arial" w:hAnsi="Arial" w:cs="Arial"/>
              </w:rPr>
              <w:t>No EPs</w:t>
            </w:r>
          </w:p>
        </w:tc>
        <w:tc>
          <w:tcPr>
            <w:tcW w:w="2160" w:type="dxa"/>
            <w:vAlign w:val="center"/>
            <w:hideMark/>
          </w:tcPr>
          <w:p w14:paraId="5CFFBF7A" w14:textId="77777777" w:rsidR="00C662AE" w:rsidRPr="00052130" w:rsidRDefault="00C662AE" w:rsidP="00583120">
            <w:pPr>
              <w:jc w:val="center"/>
              <w:textAlignment w:val="baseline"/>
              <w:rPr>
                <w:rFonts w:ascii="Arial" w:hAnsi="Arial" w:cs="Arial"/>
              </w:rPr>
            </w:pPr>
            <w:r w:rsidRPr="00052130">
              <w:rPr>
                <w:rFonts w:ascii="Arial" w:hAnsi="Arial" w:cs="Arial"/>
              </w:rPr>
              <w:t>No EPs</w:t>
            </w:r>
          </w:p>
        </w:tc>
        <w:tc>
          <w:tcPr>
            <w:tcW w:w="1980" w:type="dxa"/>
            <w:vAlign w:val="center"/>
            <w:hideMark/>
          </w:tcPr>
          <w:p w14:paraId="5A61987D" w14:textId="77777777" w:rsidR="00C662AE" w:rsidRPr="00052130" w:rsidRDefault="00C662AE" w:rsidP="00583120">
            <w:pPr>
              <w:jc w:val="center"/>
              <w:textAlignment w:val="baseline"/>
              <w:rPr>
                <w:rFonts w:ascii="Arial" w:hAnsi="Arial" w:cs="Arial"/>
              </w:rPr>
            </w:pPr>
            <w:r w:rsidRPr="00052130">
              <w:rPr>
                <w:rFonts w:ascii="Arial" w:hAnsi="Arial" w:cs="Arial"/>
              </w:rPr>
              <w:t>2.41</w:t>
            </w:r>
          </w:p>
        </w:tc>
      </w:tr>
      <w:tr w:rsidR="00656D92" w:rsidRPr="00052130" w14:paraId="240D514E" w14:textId="77777777" w:rsidTr="00C96C2C">
        <w:trPr>
          <w:trHeight w:val="1008"/>
        </w:trPr>
        <w:tc>
          <w:tcPr>
            <w:tcW w:w="3235" w:type="dxa"/>
            <w:vAlign w:val="center"/>
          </w:tcPr>
          <w:p w14:paraId="1E83AC13" w14:textId="61B1F969" w:rsidR="00253F11" w:rsidRPr="00052130" w:rsidRDefault="00C662AE" w:rsidP="00583120">
            <w:pPr>
              <w:jc w:val="center"/>
              <w:textAlignment w:val="baseline"/>
              <w:rPr>
                <w:rFonts w:ascii="Arial" w:hAnsi="Arial" w:cs="Arial"/>
              </w:rPr>
            </w:pPr>
            <w:r w:rsidRPr="00052130">
              <w:rPr>
                <w:rFonts w:ascii="Arial" w:hAnsi="Arial" w:cs="Arial"/>
              </w:rPr>
              <w:t>High-Enrollment Multiplier</w:t>
            </w:r>
          </w:p>
          <w:p w14:paraId="154316DC" w14:textId="5E983EA0" w:rsidR="00C662AE" w:rsidRPr="00052130" w:rsidRDefault="00253F11" w:rsidP="00583120">
            <w:pPr>
              <w:jc w:val="center"/>
              <w:textAlignment w:val="baseline"/>
              <w:rPr>
                <w:rFonts w:ascii="Arial" w:hAnsi="Arial" w:cs="Arial"/>
                <w:u w:val="single"/>
              </w:rPr>
            </w:pPr>
            <w:r w:rsidRPr="00052130">
              <w:rPr>
                <w:rFonts w:ascii="Arial" w:hAnsi="Arial" w:cs="Arial"/>
                <w:u w:val="single"/>
              </w:rPr>
              <w:t xml:space="preserve">(Schedule A-3, </w:t>
            </w:r>
            <w:r w:rsidR="00DE23DD" w:rsidRPr="00052130">
              <w:rPr>
                <w:rFonts w:ascii="Arial" w:hAnsi="Arial" w:cs="Arial"/>
                <w:u w:val="single"/>
              </w:rPr>
              <w:t>Table F</w:t>
            </w:r>
            <w:r w:rsidRPr="00052130">
              <w:rPr>
                <w:rFonts w:ascii="Arial" w:hAnsi="Arial" w:cs="Arial"/>
                <w:u w:val="single"/>
              </w:rPr>
              <w:t>)</w:t>
            </w:r>
          </w:p>
        </w:tc>
        <w:tc>
          <w:tcPr>
            <w:tcW w:w="2070" w:type="dxa"/>
            <w:vAlign w:val="center"/>
          </w:tcPr>
          <w:p w14:paraId="49D0B1CA" w14:textId="77777777" w:rsidR="00C662AE" w:rsidRPr="00052130" w:rsidRDefault="00C662AE" w:rsidP="00583120">
            <w:pPr>
              <w:jc w:val="center"/>
              <w:textAlignment w:val="baseline"/>
              <w:rPr>
                <w:rFonts w:ascii="Arial" w:hAnsi="Arial" w:cs="Arial"/>
              </w:rPr>
            </w:pPr>
            <w:r w:rsidRPr="00052130">
              <w:rPr>
                <w:rFonts w:ascii="Arial" w:hAnsi="Arial" w:cs="Arial"/>
              </w:rPr>
              <w:t>No adjustment</w:t>
            </w:r>
          </w:p>
        </w:tc>
        <w:tc>
          <w:tcPr>
            <w:tcW w:w="2160" w:type="dxa"/>
            <w:vAlign w:val="center"/>
          </w:tcPr>
          <w:p w14:paraId="6641713D" w14:textId="77777777" w:rsidR="00C662AE" w:rsidRPr="00052130" w:rsidRDefault="00C662AE" w:rsidP="00583120">
            <w:pPr>
              <w:jc w:val="center"/>
              <w:textAlignment w:val="baseline"/>
              <w:rPr>
                <w:rFonts w:ascii="Arial" w:hAnsi="Arial" w:cs="Arial"/>
              </w:rPr>
            </w:pPr>
            <w:r w:rsidRPr="00052130">
              <w:rPr>
                <w:rFonts w:ascii="Arial" w:hAnsi="Arial" w:cs="Arial"/>
              </w:rPr>
              <w:t>No adjustment</w:t>
            </w:r>
          </w:p>
        </w:tc>
        <w:tc>
          <w:tcPr>
            <w:tcW w:w="1980" w:type="dxa"/>
            <w:vAlign w:val="center"/>
          </w:tcPr>
          <w:p w14:paraId="77A22FB6" w14:textId="77777777" w:rsidR="00C662AE" w:rsidRPr="00052130" w:rsidRDefault="00C662AE" w:rsidP="00583120">
            <w:pPr>
              <w:jc w:val="center"/>
              <w:textAlignment w:val="baseline"/>
              <w:rPr>
                <w:rFonts w:ascii="Arial" w:hAnsi="Arial" w:cs="Arial"/>
              </w:rPr>
            </w:pPr>
            <w:r w:rsidRPr="00052130">
              <w:rPr>
                <w:rFonts w:ascii="Arial" w:hAnsi="Arial" w:cs="Arial"/>
              </w:rPr>
              <w:t>1.5</w:t>
            </w:r>
          </w:p>
        </w:tc>
      </w:tr>
      <w:tr w:rsidR="00656D92" w:rsidRPr="00052130" w14:paraId="504DE6EE" w14:textId="77777777" w:rsidTr="00C96C2C">
        <w:trPr>
          <w:trHeight w:val="1008"/>
        </w:trPr>
        <w:tc>
          <w:tcPr>
            <w:tcW w:w="3235" w:type="dxa"/>
            <w:vAlign w:val="center"/>
            <w:hideMark/>
          </w:tcPr>
          <w:p w14:paraId="2DF4DE4D" w14:textId="2B00F5D4" w:rsidR="00C662AE" w:rsidRPr="00052130" w:rsidRDefault="00C662AE" w:rsidP="00583120">
            <w:pPr>
              <w:jc w:val="center"/>
              <w:textAlignment w:val="baseline"/>
              <w:rPr>
                <w:rFonts w:ascii="Arial" w:hAnsi="Arial" w:cs="Arial"/>
              </w:rPr>
            </w:pPr>
            <w:r w:rsidRPr="00052130">
              <w:rPr>
                <w:rFonts w:ascii="Arial" w:hAnsi="Arial" w:cs="Arial"/>
              </w:rPr>
              <w:t xml:space="preserve">High-Enrollment Adjusted FTEs, Calculated in </w:t>
            </w:r>
            <w:r w:rsidR="001844E3" w:rsidRPr="00052130">
              <w:rPr>
                <w:rFonts w:ascii="Arial" w:hAnsi="Arial" w:cs="Arial"/>
                <w:u w:val="single"/>
              </w:rPr>
              <w:t>Schedule A-3,</w:t>
            </w:r>
            <w:r w:rsidR="001844E3" w:rsidRPr="00052130">
              <w:rPr>
                <w:rFonts w:ascii="Arial" w:hAnsi="Arial" w:cs="Arial"/>
              </w:rPr>
              <w:t xml:space="preserve"> </w:t>
            </w:r>
            <w:r w:rsidRPr="00052130">
              <w:rPr>
                <w:rFonts w:ascii="Arial" w:hAnsi="Arial" w:cs="Arial"/>
              </w:rPr>
              <w:t>Table G</w:t>
            </w:r>
          </w:p>
        </w:tc>
        <w:tc>
          <w:tcPr>
            <w:tcW w:w="2070" w:type="dxa"/>
            <w:vAlign w:val="center"/>
            <w:hideMark/>
          </w:tcPr>
          <w:p w14:paraId="2600F5F5" w14:textId="77777777" w:rsidR="00C662AE" w:rsidRPr="00052130" w:rsidRDefault="00C662AE" w:rsidP="00583120">
            <w:pPr>
              <w:jc w:val="center"/>
              <w:textAlignment w:val="baseline"/>
              <w:rPr>
                <w:rFonts w:ascii="Arial" w:hAnsi="Arial" w:cs="Arial"/>
              </w:rPr>
            </w:pPr>
            <w:r w:rsidRPr="00052130">
              <w:rPr>
                <w:rFonts w:ascii="Arial" w:hAnsi="Arial" w:cs="Arial"/>
              </w:rPr>
              <w:t>No adjustment</w:t>
            </w:r>
          </w:p>
        </w:tc>
        <w:tc>
          <w:tcPr>
            <w:tcW w:w="2160" w:type="dxa"/>
            <w:vAlign w:val="center"/>
            <w:hideMark/>
          </w:tcPr>
          <w:p w14:paraId="0DE88482" w14:textId="77777777" w:rsidR="00C662AE" w:rsidRPr="00052130" w:rsidRDefault="00C662AE" w:rsidP="00583120">
            <w:pPr>
              <w:jc w:val="center"/>
              <w:textAlignment w:val="baseline"/>
              <w:rPr>
                <w:rFonts w:ascii="Arial" w:hAnsi="Arial" w:cs="Arial"/>
              </w:rPr>
            </w:pPr>
            <w:r w:rsidRPr="00052130">
              <w:rPr>
                <w:rFonts w:ascii="Arial" w:hAnsi="Arial" w:cs="Arial"/>
              </w:rPr>
              <w:t>No adjustment</w:t>
            </w:r>
          </w:p>
        </w:tc>
        <w:tc>
          <w:tcPr>
            <w:tcW w:w="1980" w:type="dxa"/>
            <w:vAlign w:val="center"/>
          </w:tcPr>
          <w:p w14:paraId="2C30342A" w14:textId="77777777" w:rsidR="00C662AE" w:rsidRPr="00052130" w:rsidRDefault="00C662AE" w:rsidP="00583120">
            <w:pPr>
              <w:jc w:val="center"/>
              <w:textAlignment w:val="baseline"/>
              <w:rPr>
                <w:rFonts w:ascii="Arial" w:hAnsi="Arial" w:cs="Arial"/>
              </w:rPr>
            </w:pPr>
            <w:r w:rsidRPr="00052130">
              <w:rPr>
                <w:rFonts w:ascii="Arial" w:hAnsi="Arial" w:cs="Arial"/>
              </w:rPr>
              <w:t>3.62</w:t>
            </w:r>
          </w:p>
        </w:tc>
      </w:tr>
      <w:tr w:rsidR="00656D92" w:rsidRPr="00052130" w14:paraId="7B9D9E4A" w14:textId="77777777" w:rsidTr="00C96C2C">
        <w:trPr>
          <w:trHeight w:val="1008"/>
        </w:trPr>
        <w:tc>
          <w:tcPr>
            <w:tcW w:w="3235" w:type="dxa"/>
            <w:vAlign w:val="center"/>
          </w:tcPr>
          <w:p w14:paraId="0E3C1B20" w14:textId="6F4E4530" w:rsidR="004508C1" w:rsidRPr="00052130" w:rsidRDefault="004508C1" w:rsidP="00583120">
            <w:pPr>
              <w:spacing w:before="120" w:after="120"/>
              <w:jc w:val="center"/>
              <w:textAlignment w:val="baseline"/>
              <w:rPr>
                <w:rFonts w:ascii="Arial" w:hAnsi="Arial" w:cs="Arial"/>
                <w:u w:val="single"/>
              </w:rPr>
            </w:pPr>
            <w:r w:rsidRPr="00052130">
              <w:rPr>
                <w:rFonts w:ascii="Arial" w:hAnsi="Arial" w:cs="Arial"/>
                <w:u w:val="single"/>
              </w:rPr>
              <w:t>High-Enrollment</w:t>
            </w:r>
            <w:r w:rsidR="00221A90" w:rsidRPr="00052130">
              <w:rPr>
                <w:rFonts w:ascii="Arial" w:hAnsi="Arial" w:cs="Arial"/>
                <w:u w:val="single"/>
              </w:rPr>
              <w:t xml:space="preserve"> Adjusted Telehealth Ratio Modifier, </w:t>
            </w:r>
            <w:r w:rsidR="00D03E01" w:rsidRPr="00052130">
              <w:rPr>
                <w:rFonts w:ascii="Arial" w:hAnsi="Arial" w:cs="Arial"/>
                <w:u w:val="single"/>
              </w:rPr>
              <w:t>(Schedule A-3,</w:t>
            </w:r>
            <w:r w:rsidR="00221A90" w:rsidRPr="00052130">
              <w:rPr>
                <w:rFonts w:ascii="Arial" w:hAnsi="Arial" w:cs="Arial"/>
                <w:u w:val="single"/>
              </w:rPr>
              <w:t xml:space="preserve"> Table G</w:t>
            </w:r>
            <w:r w:rsidR="00D03E01" w:rsidRPr="00052130">
              <w:rPr>
                <w:rFonts w:ascii="Arial" w:hAnsi="Arial" w:cs="Arial"/>
                <w:u w:val="single"/>
              </w:rPr>
              <w:t>)</w:t>
            </w:r>
          </w:p>
        </w:tc>
        <w:tc>
          <w:tcPr>
            <w:tcW w:w="2070" w:type="dxa"/>
            <w:vAlign w:val="center"/>
          </w:tcPr>
          <w:p w14:paraId="32E95884" w14:textId="72BEBAD2" w:rsidR="004508C1" w:rsidRPr="00052130" w:rsidRDefault="00221A90" w:rsidP="00583120">
            <w:pPr>
              <w:jc w:val="center"/>
              <w:textAlignment w:val="baseline"/>
              <w:rPr>
                <w:rFonts w:ascii="Arial" w:hAnsi="Arial" w:cs="Arial"/>
                <w:u w:val="single"/>
              </w:rPr>
            </w:pPr>
            <w:r w:rsidRPr="00052130">
              <w:rPr>
                <w:rFonts w:ascii="Arial" w:hAnsi="Arial" w:cs="Arial"/>
                <w:u w:val="single"/>
              </w:rPr>
              <w:t>No adjustment</w:t>
            </w:r>
          </w:p>
        </w:tc>
        <w:tc>
          <w:tcPr>
            <w:tcW w:w="2160" w:type="dxa"/>
            <w:vAlign w:val="center"/>
          </w:tcPr>
          <w:p w14:paraId="3CF59B24" w14:textId="4DAB717A" w:rsidR="004508C1" w:rsidRPr="00052130" w:rsidRDefault="00221A90" w:rsidP="00583120">
            <w:pPr>
              <w:jc w:val="center"/>
              <w:textAlignment w:val="baseline"/>
              <w:rPr>
                <w:rFonts w:ascii="Arial" w:hAnsi="Arial" w:cs="Arial"/>
                <w:u w:val="single"/>
              </w:rPr>
            </w:pPr>
            <w:r w:rsidRPr="00052130">
              <w:rPr>
                <w:rFonts w:ascii="Arial" w:hAnsi="Arial" w:cs="Arial"/>
                <w:u w:val="single"/>
              </w:rPr>
              <w:t>No adjustment</w:t>
            </w:r>
          </w:p>
        </w:tc>
        <w:tc>
          <w:tcPr>
            <w:tcW w:w="1980" w:type="dxa"/>
            <w:vAlign w:val="center"/>
          </w:tcPr>
          <w:p w14:paraId="354D9017" w14:textId="4566451C" w:rsidR="004508C1" w:rsidRPr="00052130" w:rsidRDefault="00221A90" w:rsidP="00583120">
            <w:pPr>
              <w:jc w:val="center"/>
              <w:textAlignment w:val="baseline"/>
              <w:rPr>
                <w:rFonts w:ascii="Arial" w:hAnsi="Arial" w:cs="Arial"/>
                <w:u w:val="single"/>
              </w:rPr>
            </w:pPr>
            <w:r w:rsidRPr="00052130">
              <w:rPr>
                <w:rFonts w:ascii="Arial" w:hAnsi="Arial" w:cs="Arial"/>
                <w:u w:val="single"/>
              </w:rPr>
              <w:t>0.</w:t>
            </w:r>
            <w:r w:rsidR="000A09D6" w:rsidRPr="00052130">
              <w:rPr>
                <w:rFonts w:ascii="Arial" w:hAnsi="Arial" w:cs="Arial"/>
                <w:u w:val="single"/>
              </w:rPr>
              <w:t>1275</w:t>
            </w:r>
          </w:p>
        </w:tc>
      </w:tr>
      <w:tr w:rsidR="00656D92" w:rsidRPr="00052130" w14:paraId="63DF063E" w14:textId="77777777" w:rsidTr="00C96C2C">
        <w:trPr>
          <w:trHeight w:val="1008"/>
        </w:trPr>
        <w:tc>
          <w:tcPr>
            <w:tcW w:w="3235" w:type="dxa"/>
            <w:vAlign w:val="center"/>
          </w:tcPr>
          <w:p w14:paraId="39008F8C" w14:textId="2A93B5DE" w:rsidR="00E25167" w:rsidRPr="00052130" w:rsidRDefault="00E25167" w:rsidP="00583120">
            <w:pPr>
              <w:jc w:val="center"/>
              <w:textAlignment w:val="baseline"/>
              <w:rPr>
                <w:rFonts w:ascii="Arial" w:hAnsi="Arial" w:cs="Arial"/>
              </w:rPr>
            </w:pPr>
            <w:r w:rsidRPr="00052130">
              <w:rPr>
                <w:rFonts w:ascii="Arial" w:hAnsi="Arial" w:cs="Arial"/>
              </w:rPr>
              <w:t>Total County FTE</w:t>
            </w:r>
          </w:p>
        </w:tc>
        <w:tc>
          <w:tcPr>
            <w:tcW w:w="2070" w:type="dxa"/>
            <w:vAlign w:val="center"/>
          </w:tcPr>
          <w:p w14:paraId="658FC646" w14:textId="29F4FCC0" w:rsidR="00E25167" w:rsidRPr="00052130" w:rsidRDefault="00E25167" w:rsidP="00583120">
            <w:pPr>
              <w:jc w:val="center"/>
              <w:textAlignment w:val="baseline"/>
              <w:rPr>
                <w:rFonts w:ascii="Arial" w:hAnsi="Arial" w:cs="Arial"/>
              </w:rPr>
            </w:pPr>
            <w:r w:rsidRPr="00052130">
              <w:rPr>
                <w:rFonts w:ascii="Arial" w:hAnsi="Arial" w:cs="Arial"/>
              </w:rPr>
              <w:t>(</w:t>
            </w:r>
            <w:r w:rsidR="00205431" w:rsidRPr="00052130">
              <w:rPr>
                <w:rFonts w:ascii="Arial" w:hAnsi="Arial" w:cs="Arial"/>
              </w:rPr>
              <w:t>0</w:t>
            </w:r>
            <w:r w:rsidRPr="00052130">
              <w:rPr>
                <w:rFonts w:ascii="Arial" w:hAnsi="Arial" w:cs="Arial"/>
              </w:rPr>
              <w:t>.32 +.016) =</w:t>
            </w:r>
            <w:r w:rsidR="005A3CEE" w:rsidRPr="00052130">
              <w:rPr>
                <w:rFonts w:ascii="Arial" w:hAnsi="Arial" w:cs="Arial"/>
              </w:rPr>
              <w:t>0</w:t>
            </w:r>
            <w:r w:rsidRPr="00052130">
              <w:rPr>
                <w:rFonts w:ascii="Arial" w:hAnsi="Arial" w:cs="Arial"/>
              </w:rPr>
              <w:t>.336</w:t>
            </w:r>
          </w:p>
        </w:tc>
        <w:tc>
          <w:tcPr>
            <w:tcW w:w="2160" w:type="dxa"/>
            <w:vAlign w:val="center"/>
          </w:tcPr>
          <w:p w14:paraId="57B65228" w14:textId="363B9CDF" w:rsidR="00E25167" w:rsidRPr="00052130" w:rsidRDefault="00E25167" w:rsidP="00583120">
            <w:pPr>
              <w:jc w:val="center"/>
              <w:textAlignment w:val="baseline"/>
              <w:rPr>
                <w:rFonts w:ascii="Arial" w:hAnsi="Arial" w:cs="Arial"/>
              </w:rPr>
            </w:pPr>
            <w:r w:rsidRPr="00052130">
              <w:rPr>
                <w:rFonts w:ascii="Arial" w:hAnsi="Arial" w:cs="Arial"/>
              </w:rPr>
              <w:t>0</w:t>
            </w:r>
          </w:p>
        </w:tc>
        <w:tc>
          <w:tcPr>
            <w:tcW w:w="1980" w:type="dxa"/>
            <w:vAlign w:val="center"/>
          </w:tcPr>
          <w:p w14:paraId="3506B240" w14:textId="5CF11E62" w:rsidR="00A92E3F" w:rsidRPr="00052130" w:rsidRDefault="00A92E3F" w:rsidP="00583120">
            <w:pPr>
              <w:jc w:val="center"/>
              <w:textAlignment w:val="baseline"/>
              <w:rPr>
                <w:rFonts w:ascii="Arial" w:hAnsi="Arial" w:cs="Arial"/>
                <w:strike/>
              </w:rPr>
            </w:pPr>
            <w:r w:rsidRPr="00052130">
              <w:rPr>
                <w:rFonts w:ascii="Arial" w:hAnsi="Arial" w:cs="Arial"/>
                <w:strike/>
              </w:rPr>
              <w:t>(3.62 +.085) = 3.705</w:t>
            </w:r>
          </w:p>
          <w:p w14:paraId="087AA37F" w14:textId="73188E02" w:rsidR="00E25167" w:rsidRPr="00052130" w:rsidRDefault="00E25167" w:rsidP="00583120">
            <w:pPr>
              <w:jc w:val="center"/>
              <w:textAlignment w:val="baseline"/>
              <w:rPr>
                <w:rFonts w:ascii="Arial" w:hAnsi="Arial" w:cs="Arial"/>
                <w:u w:val="single"/>
              </w:rPr>
            </w:pPr>
            <w:r w:rsidRPr="00052130">
              <w:rPr>
                <w:rFonts w:ascii="Arial" w:hAnsi="Arial" w:cs="Arial"/>
                <w:u w:val="single"/>
              </w:rPr>
              <w:t>(3.62 +</w:t>
            </w:r>
            <w:r w:rsidR="00806BA1" w:rsidRPr="00052130">
              <w:rPr>
                <w:rFonts w:ascii="Arial" w:hAnsi="Arial" w:cs="Arial"/>
                <w:u w:val="single"/>
              </w:rPr>
              <w:t xml:space="preserve"> </w:t>
            </w:r>
            <w:r w:rsidR="000A09D6" w:rsidRPr="00052130">
              <w:rPr>
                <w:rFonts w:ascii="Arial" w:hAnsi="Arial" w:cs="Arial"/>
                <w:u w:val="single"/>
              </w:rPr>
              <w:t>0</w:t>
            </w:r>
            <w:r w:rsidRPr="00052130">
              <w:rPr>
                <w:rFonts w:ascii="Arial" w:hAnsi="Arial" w:cs="Arial"/>
                <w:u w:val="single"/>
              </w:rPr>
              <w:t>.</w:t>
            </w:r>
            <w:r w:rsidR="000A09D6" w:rsidRPr="00052130">
              <w:rPr>
                <w:rFonts w:ascii="Arial" w:hAnsi="Arial" w:cs="Arial"/>
                <w:u w:val="single"/>
              </w:rPr>
              <w:t>1275</w:t>
            </w:r>
            <w:r w:rsidRPr="00052130">
              <w:rPr>
                <w:rFonts w:ascii="Arial" w:hAnsi="Arial" w:cs="Arial"/>
                <w:u w:val="single"/>
              </w:rPr>
              <w:t>) = 3.</w:t>
            </w:r>
            <w:r w:rsidR="000E1149" w:rsidRPr="00052130">
              <w:rPr>
                <w:rFonts w:ascii="Arial" w:hAnsi="Arial" w:cs="Arial"/>
                <w:u w:val="single"/>
              </w:rPr>
              <w:t>7475</w:t>
            </w:r>
          </w:p>
        </w:tc>
      </w:tr>
      <w:tr w:rsidR="00656D92" w:rsidRPr="00052130" w14:paraId="53DCF541" w14:textId="77777777" w:rsidTr="00C96C2C">
        <w:trPr>
          <w:trHeight w:val="1008"/>
        </w:trPr>
        <w:tc>
          <w:tcPr>
            <w:tcW w:w="3235" w:type="dxa"/>
            <w:vAlign w:val="center"/>
          </w:tcPr>
          <w:p w14:paraId="590B885C" w14:textId="311BC44B" w:rsidR="00C662AE" w:rsidRPr="00052130" w:rsidRDefault="00C662AE" w:rsidP="00583120">
            <w:pPr>
              <w:jc w:val="center"/>
              <w:textAlignment w:val="baseline"/>
              <w:rPr>
                <w:rFonts w:ascii="Arial" w:hAnsi="Arial" w:cs="Arial"/>
              </w:rPr>
            </w:pPr>
            <w:r w:rsidRPr="00052130">
              <w:rPr>
                <w:rFonts w:ascii="Arial" w:hAnsi="Arial" w:cs="Arial"/>
              </w:rPr>
              <w:t xml:space="preserve">Single-county </w:t>
            </w:r>
            <w:r w:rsidR="00797FCA" w:rsidRPr="00052130">
              <w:rPr>
                <w:rFonts w:ascii="Arial" w:hAnsi="Arial" w:cs="Arial"/>
              </w:rPr>
              <w:t>FTE R</w:t>
            </w:r>
            <w:r w:rsidRPr="00052130">
              <w:rPr>
                <w:rFonts w:ascii="Arial" w:hAnsi="Arial" w:cs="Arial"/>
              </w:rPr>
              <w:t>atio</w:t>
            </w:r>
            <w:r w:rsidR="007832FD" w:rsidRPr="00052130">
              <w:rPr>
                <w:rFonts w:ascii="Arial" w:hAnsi="Arial" w:cs="Arial"/>
              </w:rPr>
              <w:t xml:space="preserve"> </w:t>
            </w:r>
            <w:r w:rsidR="00D05F2F" w:rsidRPr="00052130">
              <w:rPr>
                <w:rFonts w:ascii="Arial" w:hAnsi="Arial" w:cs="Arial"/>
              </w:rPr>
              <w:br/>
            </w:r>
            <w:r w:rsidRPr="00052130">
              <w:rPr>
                <w:rFonts w:ascii="Arial" w:hAnsi="Arial" w:cs="Arial"/>
              </w:rPr>
              <w:t>(1: ____)</w:t>
            </w:r>
          </w:p>
        </w:tc>
        <w:tc>
          <w:tcPr>
            <w:tcW w:w="2070" w:type="dxa"/>
            <w:vAlign w:val="center"/>
          </w:tcPr>
          <w:p w14:paraId="1EB0D993" w14:textId="77777777" w:rsidR="00B07C93" w:rsidRPr="00052130" w:rsidRDefault="008C2ECA" w:rsidP="00583120">
            <w:pPr>
              <w:jc w:val="center"/>
              <w:textAlignment w:val="baseline"/>
              <w:rPr>
                <w:rFonts w:ascii="Arial" w:hAnsi="Arial" w:cs="Arial"/>
              </w:rPr>
            </w:pPr>
            <w:r w:rsidRPr="00052130">
              <w:rPr>
                <w:rFonts w:ascii="Arial" w:hAnsi="Arial" w:cs="Arial"/>
              </w:rPr>
              <w:t xml:space="preserve">400 ÷ </w:t>
            </w:r>
            <w:r w:rsidR="005A3CEE" w:rsidRPr="00052130">
              <w:rPr>
                <w:rFonts w:ascii="Arial" w:hAnsi="Arial" w:cs="Arial"/>
              </w:rPr>
              <w:t>0</w:t>
            </w:r>
            <w:r w:rsidRPr="00052130">
              <w:rPr>
                <w:rFonts w:ascii="Arial" w:hAnsi="Arial" w:cs="Arial"/>
              </w:rPr>
              <w:t>.336=</w:t>
            </w:r>
          </w:p>
          <w:p w14:paraId="6A63A735" w14:textId="77777777" w:rsidR="00C662AE" w:rsidRPr="00052130" w:rsidRDefault="00B07C93" w:rsidP="00583120">
            <w:pPr>
              <w:jc w:val="center"/>
              <w:textAlignment w:val="baseline"/>
              <w:rPr>
                <w:rFonts w:ascii="Arial" w:hAnsi="Arial" w:cs="Arial"/>
                <w:u w:val="single"/>
              </w:rPr>
            </w:pPr>
            <w:r w:rsidRPr="00052130">
              <w:rPr>
                <w:rFonts w:ascii="Arial" w:hAnsi="Arial" w:cs="Arial"/>
                <w:strike/>
              </w:rPr>
              <w:t>1250</w:t>
            </w:r>
            <w:r w:rsidR="00A912E7" w:rsidRPr="00052130">
              <w:rPr>
                <w:rFonts w:ascii="Arial" w:hAnsi="Arial" w:cs="Arial"/>
              </w:rPr>
              <w:br/>
            </w:r>
            <w:r w:rsidR="00D148BC" w:rsidRPr="00052130">
              <w:rPr>
                <w:rFonts w:ascii="Arial" w:hAnsi="Arial" w:cs="Arial"/>
                <w:u w:val="single"/>
              </w:rPr>
              <w:t>1191</w:t>
            </w:r>
          </w:p>
          <w:p w14:paraId="2A7B14A1" w14:textId="26D878DF" w:rsidR="00645A42" w:rsidRPr="00052130" w:rsidRDefault="00645A42" w:rsidP="00583120">
            <w:pPr>
              <w:jc w:val="center"/>
              <w:textAlignment w:val="baseline"/>
              <w:rPr>
                <w:rFonts w:ascii="Arial" w:hAnsi="Arial" w:cs="Arial"/>
              </w:rPr>
            </w:pPr>
          </w:p>
        </w:tc>
        <w:tc>
          <w:tcPr>
            <w:tcW w:w="2160" w:type="dxa"/>
            <w:vAlign w:val="center"/>
          </w:tcPr>
          <w:p w14:paraId="4ED32AD8" w14:textId="77777777" w:rsidR="00C662AE" w:rsidRPr="00052130" w:rsidRDefault="00C662AE" w:rsidP="00583120">
            <w:pPr>
              <w:jc w:val="center"/>
              <w:textAlignment w:val="baseline"/>
              <w:rPr>
                <w:rFonts w:ascii="Arial" w:hAnsi="Arial" w:cs="Arial"/>
              </w:rPr>
            </w:pPr>
            <w:r w:rsidRPr="00052130">
              <w:rPr>
                <w:rFonts w:ascii="Arial" w:hAnsi="Arial" w:cs="Arial"/>
              </w:rPr>
              <w:t>No Providers</w:t>
            </w:r>
          </w:p>
        </w:tc>
        <w:tc>
          <w:tcPr>
            <w:tcW w:w="1980" w:type="dxa"/>
            <w:vAlign w:val="center"/>
          </w:tcPr>
          <w:p w14:paraId="39EAF8AC" w14:textId="787D1E4C" w:rsidR="00E832F7" w:rsidRPr="00052130" w:rsidRDefault="00E832F7" w:rsidP="00583120">
            <w:pPr>
              <w:jc w:val="center"/>
              <w:textAlignment w:val="baseline"/>
              <w:rPr>
                <w:rFonts w:ascii="Arial" w:hAnsi="Arial" w:cs="Arial"/>
                <w:strike/>
              </w:rPr>
            </w:pPr>
            <w:r w:rsidRPr="00052130">
              <w:rPr>
                <w:rFonts w:ascii="Arial" w:hAnsi="Arial" w:cs="Arial"/>
                <w:strike/>
              </w:rPr>
              <w:t>3,000 ÷ 0.085=</w:t>
            </w:r>
            <w:r w:rsidRPr="00052130">
              <w:rPr>
                <w:rFonts w:ascii="Arial" w:hAnsi="Arial" w:cs="Arial"/>
                <w:strike/>
              </w:rPr>
              <w:br/>
              <w:t>811</w:t>
            </w:r>
          </w:p>
          <w:p w14:paraId="161F8FD1" w14:textId="730035CE" w:rsidR="00C662AE" w:rsidRPr="00052130" w:rsidRDefault="00511167" w:rsidP="00583120">
            <w:pPr>
              <w:jc w:val="center"/>
              <w:textAlignment w:val="baseline"/>
              <w:rPr>
                <w:rFonts w:ascii="Arial" w:hAnsi="Arial" w:cs="Arial"/>
                <w:u w:val="single"/>
              </w:rPr>
            </w:pPr>
            <w:r w:rsidRPr="00052130">
              <w:rPr>
                <w:rFonts w:ascii="Arial" w:hAnsi="Arial" w:cs="Arial"/>
                <w:u w:val="single"/>
              </w:rPr>
              <w:t xml:space="preserve">3,000 ÷ </w:t>
            </w:r>
            <w:r w:rsidR="005148E2" w:rsidRPr="00052130">
              <w:rPr>
                <w:rFonts w:ascii="Arial" w:hAnsi="Arial" w:cs="Arial"/>
                <w:u w:val="single"/>
              </w:rPr>
              <w:t>3.</w:t>
            </w:r>
            <w:r w:rsidR="00BE52BC" w:rsidRPr="00052130">
              <w:rPr>
                <w:rFonts w:ascii="Arial" w:hAnsi="Arial" w:cs="Arial"/>
                <w:u w:val="single"/>
              </w:rPr>
              <w:t>7475</w:t>
            </w:r>
            <w:r w:rsidRPr="00052130">
              <w:rPr>
                <w:rFonts w:ascii="Arial" w:hAnsi="Arial" w:cs="Arial"/>
                <w:u w:val="single"/>
              </w:rPr>
              <w:t>=</w:t>
            </w:r>
            <w:r w:rsidR="00A912E7" w:rsidRPr="00052130">
              <w:rPr>
                <w:rFonts w:ascii="Arial" w:hAnsi="Arial" w:cs="Arial"/>
                <w:u w:val="single"/>
              </w:rPr>
              <w:br/>
            </w:r>
            <w:r w:rsidR="00BE52BC" w:rsidRPr="00052130">
              <w:rPr>
                <w:rFonts w:ascii="Arial" w:hAnsi="Arial" w:cs="Arial"/>
                <w:u w:val="single"/>
              </w:rPr>
              <w:t>801</w:t>
            </w:r>
          </w:p>
        </w:tc>
      </w:tr>
      <w:tr w:rsidR="00656D92" w:rsidRPr="00052130" w14:paraId="6C7B7321" w14:textId="77777777" w:rsidTr="00C96C2C">
        <w:trPr>
          <w:trHeight w:val="1008"/>
        </w:trPr>
        <w:tc>
          <w:tcPr>
            <w:tcW w:w="3235" w:type="dxa"/>
            <w:vAlign w:val="center"/>
          </w:tcPr>
          <w:p w14:paraId="1E4B24A6" w14:textId="0E3CC317" w:rsidR="005C37E5" w:rsidRPr="00052130" w:rsidRDefault="005C37E5" w:rsidP="00583120">
            <w:pPr>
              <w:jc w:val="center"/>
              <w:textAlignment w:val="baseline"/>
              <w:rPr>
                <w:rFonts w:ascii="Arial" w:hAnsi="Arial" w:cs="Arial"/>
              </w:rPr>
            </w:pPr>
            <w:r w:rsidRPr="00052130">
              <w:rPr>
                <w:rFonts w:ascii="Arial" w:hAnsi="Arial" w:cs="Arial"/>
              </w:rPr>
              <w:lastRenderedPageBreak/>
              <w:t>Required Ratio for Compliance</w:t>
            </w:r>
            <w:r w:rsidR="007832FD" w:rsidRPr="00052130">
              <w:rPr>
                <w:rFonts w:ascii="Arial" w:hAnsi="Arial" w:cs="Arial"/>
              </w:rPr>
              <w:t xml:space="preserve"> </w:t>
            </w:r>
            <w:r w:rsidRPr="00052130">
              <w:rPr>
                <w:rFonts w:ascii="Arial" w:hAnsi="Arial" w:cs="Arial"/>
              </w:rPr>
              <w:t>(1:___)</w:t>
            </w:r>
          </w:p>
        </w:tc>
        <w:tc>
          <w:tcPr>
            <w:tcW w:w="2070" w:type="dxa"/>
            <w:vAlign w:val="center"/>
          </w:tcPr>
          <w:p w14:paraId="43C9ADED" w14:textId="74348590" w:rsidR="005C37E5" w:rsidRPr="00052130" w:rsidRDefault="005C37E5" w:rsidP="00583120">
            <w:pPr>
              <w:jc w:val="center"/>
              <w:textAlignment w:val="baseline"/>
              <w:rPr>
                <w:rFonts w:ascii="Arial" w:hAnsi="Arial" w:cs="Arial"/>
              </w:rPr>
            </w:pPr>
            <w:r w:rsidRPr="00052130">
              <w:rPr>
                <w:rFonts w:ascii="Arial" w:hAnsi="Arial" w:cs="Arial"/>
              </w:rPr>
              <w:t>1000</w:t>
            </w:r>
          </w:p>
        </w:tc>
        <w:tc>
          <w:tcPr>
            <w:tcW w:w="2160" w:type="dxa"/>
            <w:vAlign w:val="center"/>
          </w:tcPr>
          <w:p w14:paraId="2B222ABA" w14:textId="2C2C5BD8" w:rsidR="005C37E5" w:rsidRPr="00052130" w:rsidRDefault="005C37E5" w:rsidP="00583120">
            <w:pPr>
              <w:jc w:val="center"/>
              <w:textAlignment w:val="baseline"/>
              <w:rPr>
                <w:rFonts w:ascii="Arial" w:hAnsi="Arial" w:cs="Arial"/>
              </w:rPr>
            </w:pPr>
            <w:r w:rsidRPr="00052130">
              <w:rPr>
                <w:rFonts w:ascii="Arial" w:hAnsi="Arial" w:cs="Arial"/>
              </w:rPr>
              <w:t>1000</w:t>
            </w:r>
          </w:p>
        </w:tc>
        <w:tc>
          <w:tcPr>
            <w:tcW w:w="1980" w:type="dxa"/>
            <w:vAlign w:val="center"/>
          </w:tcPr>
          <w:p w14:paraId="58CDDBF0" w14:textId="3D446D24" w:rsidR="005C37E5" w:rsidRPr="00052130" w:rsidRDefault="005C37E5" w:rsidP="00583120">
            <w:pPr>
              <w:jc w:val="center"/>
              <w:textAlignment w:val="baseline"/>
              <w:rPr>
                <w:rFonts w:ascii="Arial" w:hAnsi="Arial" w:cs="Arial"/>
              </w:rPr>
            </w:pPr>
            <w:r w:rsidRPr="00052130">
              <w:rPr>
                <w:rFonts w:ascii="Arial" w:hAnsi="Arial" w:cs="Arial"/>
              </w:rPr>
              <w:t>1000</w:t>
            </w:r>
          </w:p>
        </w:tc>
      </w:tr>
      <w:tr w:rsidR="00656D92" w:rsidRPr="00052130" w14:paraId="5B1E3B00" w14:textId="77777777" w:rsidTr="00C96C2C">
        <w:trPr>
          <w:trHeight w:val="1008"/>
        </w:trPr>
        <w:tc>
          <w:tcPr>
            <w:tcW w:w="3235" w:type="dxa"/>
            <w:vAlign w:val="center"/>
            <w:hideMark/>
          </w:tcPr>
          <w:p w14:paraId="4DA5F816" w14:textId="1FE9082B" w:rsidR="005C37E5" w:rsidRPr="00052130" w:rsidRDefault="005C37E5" w:rsidP="00583120">
            <w:pPr>
              <w:jc w:val="center"/>
              <w:textAlignment w:val="baseline"/>
              <w:rPr>
                <w:rFonts w:ascii="Arial" w:hAnsi="Arial" w:cs="Arial"/>
              </w:rPr>
            </w:pPr>
            <w:r w:rsidRPr="00052130">
              <w:rPr>
                <w:rFonts w:ascii="Arial" w:hAnsi="Arial" w:cs="Arial"/>
              </w:rPr>
              <w:t xml:space="preserve">Combined </w:t>
            </w:r>
            <w:r w:rsidRPr="00052130">
              <w:rPr>
                <w:rFonts w:ascii="Arial" w:hAnsi="Arial" w:cs="Arial"/>
                <w:strike/>
              </w:rPr>
              <w:t>capacity</w:t>
            </w:r>
            <w:r w:rsidRPr="00052130">
              <w:rPr>
                <w:rFonts w:ascii="Arial" w:hAnsi="Arial" w:cs="Arial"/>
              </w:rPr>
              <w:t xml:space="preserve"> </w:t>
            </w:r>
            <w:r w:rsidR="002D640F" w:rsidRPr="00052130">
              <w:rPr>
                <w:rFonts w:ascii="Arial" w:hAnsi="Arial" w:cs="Arial"/>
                <w:u w:val="single"/>
              </w:rPr>
              <w:t xml:space="preserve">FTE </w:t>
            </w:r>
            <w:r w:rsidRPr="00052130">
              <w:rPr>
                <w:rFonts w:ascii="Arial" w:hAnsi="Arial" w:cs="Arial"/>
              </w:rPr>
              <w:t>ratio </w:t>
            </w:r>
            <w:r w:rsidRPr="00052130">
              <w:rPr>
                <w:rFonts w:ascii="Arial" w:hAnsi="Arial" w:cs="Arial"/>
              </w:rPr>
              <w:br/>
              <w:t>(1: ____)</w:t>
            </w:r>
          </w:p>
        </w:tc>
        <w:tc>
          <w:tcPr>
            <w:tcW w:w="6210" w:type="dxa"/>
            <w:gridSpan w:val="3"/>
            <w:vAlign w:val="center"/>
            <w:hideMark/>
          </w:tcPr>
          <w:p w14:paraId="732B31B1" w14:textId="2665607C" w:rsidR="005C37E5" w:rsidRPr="00052130" w:rsidRDefault="005C37E5" w:rsidP="00583120">
            <w:pPr>
              <w:jc w:val="center"/>
              <w:textAlignment w:val="baseline"/>
              <w:rPr>
                <w:rFonts w:ascii="Arial" w:hAnsi="Arial" w:cs="Arial"/>
              </w:rPr>
            </w:pPr>
            <w:r w:rsidRPr="00052130">
              <w:rPr>
                <w:rFonts w:ascii="Arial" w:hAnsi="Arial" w:cs="Arial"/>
              </w:rPr>
              <w:t>(400 + 80 + 3000)</w:t>
            </w:r>
            <w:r w:rsidR="00EC242E" w:rsidRPr="00052130">
              <w:rPr>
                <w:rFonts w:ascii="Arial" w:hAnsi="Arial" w:cs="Arial"/>
              </w:rPr>
              <w:t xml:space="preserve"> ÷ </w:t>
            </w:r>
            <w:r w:rsidR="00333138" w:rsidRPr="00052130">
              <w:rPr>
                <w:rFonts w:ascii="Arial" w:hAnsi="Arial" w:cs="Arial"/>
                <w:strike/>
              </w:rPr>
              <w:t xml:space="preserve">(0.336 + 3.705) = </w:t>
            </w:r>
            <w:r w:rsidR="00333138" w:rsidRPr="00BF0C7B">
              <w:rPr>
                <w:rFonts w:ascii="Arial" w:hAnsi="Arial" w:cs="Arial"/>
                <w:strike/>
              </w:rPr>
              <w:t>861 </w:t>
            </w:r>
            <w:r w:rsidR="00333138" w:rsidRPr="00BF0C7B">
              <w:rPr>
                <w:rFonts w:ascii="Arial" w:hAnsi="Arial" w:cs="Arial"/>
              </w:rPr>
              <w:t xml:space="preserve"> </w:t>
            </w:r>
            <w:r w:rsidRPr="00052130">
              <w:rPr>
                <w:rFonts w:ascii="Arial" w:hAnsi="Arial" w:cs="Arial"/>
                <w:u w:val="single"/>
              </w:rPr>
              <w:t>(0.336 + 3.</w:t>
            </w:r>
            <w:r w:rsidR="000E1149" w:rsidRPr="00052130">
              <w:rPr>
                <w:rFonts w:ascii="Arial" w:hAnsi="Arial" w:cs="Arial"/>
                <w:u w:val="single"/>
              </w:rPr>
              <w:t>7475</w:t>
            </w:r>
            <w:r w:rsidRPr="00052130">
              <w:rPr>
                <w:rFonts w:ascii="Arial" w:hAnsi="Arial" w:cs="Arial"/>
                <w:u w:val="single"/>
              </w:rPr>
              <w:t xml:space="preserve">) = </w:t>
            </w:r>
            <w:r w:rsidR="00621E79" w:rsidRPr="00052130">
              <w:rPr>
                <w:rFonts w:ascii="Arial" w:hAnsi="Arial" w:cs="Arial"/>
                <w:u w:val="single"/>
              </w:rPr>
              <w:t>85</w:t>
            </w:r>
            <w:r w:rsidR="00A42FF4" w:rsidRPr="00052130">
              <w:rPr>
                <w:rFonts w:ascii="Arial" w:hAnsi="Arial" w:cs="Arial"/>
                <w:u w:val="single"/>
              </w:rPr>
              <w:t>3</w:t>
            </w:r>
            <w:r w:rsidRPr="00052130">
              <w:rPr>
                <w:rFonts w:ascii="Arial" w:hAnsi="Arial" w:cs="Arial"/>
                <w:u w:val="single"/>
              </w:rPr>
              <w:t> </w:t>
            </w:r>
          </w:p>
        </w:tc>
      </w:tr>
    </w:tbl>
    <w:p w14:paraId="7D45DB76" w14:textId="2B6D329A" w:rsidR="006B7EE5" w:rsidRPr="00052130" w:rsidRDefault="00C662AE" w:rsidP="00583120">
      <w:pPr>
        <w:spacing w:before="120" w:after="240"/>
        <w:rPr>
          <w:rFonts w:ascii="Arial" w:eastAsiaTheme="majorEastAsia" w:hAnsi="Arial" w:cs="Arial"/>
          <w:b/>
          <w:sz w:val="28"/>
          <w:szCs w:val="28"/>
        </w:rPr>
      </w:pPr>
      <w:r w:rsidRPr="00052130">
        <w:rPr>
          <w:rFonts w:ascii="Arial" w:hAnsi="Arial" w:cs="Arial"/>
        </w:rPr>
        <w:t>*Values in this example are derived from Schedule A, Table B, Schedule A-1, Table C, Schedule A-2, Table E, and Schedule A-3, Table G.</w:t>
      </w:r>
    </w:p>
    <w:p w14:paraId="74FFF137" w14:textId="77777777" w:rsidR="00C96C2C" w:rsidRDefault="00C96C2C" w:rsidP="00583120">
      <w:pPr>
        <w:spacing w:after="160"/>
        <w:rPr>
          <w:rFonts w:ascii="Arial" w:eastAsiaTheme="majorEastAsia" w:hAnsi="Arial" w:cs="Arial"/>
          <w:b/>
          <w:bCs/>
          <w:sz w:val="28"/>
          <w:szCs w:val="28"/>
        </w:rPr>
      </w:pPr>
      <w:r>
        <w:rPr>
          <w:b/>
          <w:bCs/>
        </w:rPr>
        <w:br w:type="page"/>
      </w:r>
    </w:p>
    <w:p w14:paraId="77DA32D0" w14:textId="10A0699A" w:rsidR="00C662AE" w:rsidRPr="008320F3" w:rsidRDefault="00C662AE" w:rsidP="00583120">
      <w:pPr>
        <w:pStyle w:val="Heading1"/>
      </w:pPr>
      <w:r w:rsidRPr="008320F3">
        <w:lastRenderedPageBreak/>
        <w:t>Schedule A-5</w:t>
      </w:r>
    </w:p>
    <w:p w14:paraId="2C258D56" w14:textId="1947307D" w:rsidR="00C662AE" w:rsidRDefault="00C662AE" w:rsidP="00583120">
      <w:pPr>
        <w:jc w:val="center"/>
        <w:rPr>
          <w:rFonts w:ascii="Arial" w:hAnsi="Arial" w:cs="Arial"/>
          <w:b/>
          <w:bCs/>
          <w:sz w:val="28"/>
          <w:szCs w:val="28"/>
        </w:rPr>
      </w:pPr>
      <w:r w:rsidRPr="00DE3900">
        <w:rPr>
          <w:rFonts w:ascii="Arial" w:hAnsi="Arial" w:cs="Arial"/>
          <w:b/>
          <w:bCs/>
          <w:sz w:val="28"/>
          <w:szCs w:val="28"/>
        </w:rPr>
        <w:t>Alternative Methodology</w:t>
      </w:r>
      <w:r w:rsidR="00193BF9" w:rsidRPr="00DE3900">
        <w:rPr>
          <w:rFonts w:ascii="Arial" w:hAnsi="Arial" w:cs="Arial"/>
          <w:b/>
          <w:bCs/>
          <w:sz w:val="28"/>
          <w:szCs w:val="28"/>
        </w:rPr>
        <w:br/>
      </w:r>
      <w:r w:rsidR="007A4591" w:rsidRPr="00DE3900">
        <w:rPr>
          <w:rFonts w:ascii="Arial" w:hAnsi="Arial" w:cs="Arial"/>
          <w:b/>
          <w:bCs/>
          <w:sz w:val="28"/>
          <w:szCs w:val="28"/>
        </w:rPr>
        <w:t xml:space="preserve">Minimum </w:t>
      </w:r>
      <w:r w:rsidRPr="00DE3900">
        <w:rPr>
          <w:rFonts w:ascii="Arial" w:hAnsi="Arial" w:cs="Arial"/>
          <w:b/>
          <w:bCs/>
          <w:sz w:val="28"/>
          <w:szCs w:val="28"/>
        </w:rPr>
        <w:t>Threshold Requirement for a Combined County Ratio</w:t>
      </w:r>
      <w:r w:rsidR="00193BF9" w:rsidRPr="00DE3900">
        <w:rPr>
          <w:rFonts w:ascii="Arial" w:hAnsi="Arial" w:cs="Arial"/>
          <w:b/>
          <w:bCs/>
          <w:sz w:val="28"/>
          <w:szCs w:val="28"/>
        </w:rPr>
        <w:br/>
      </w:r>
      <w:r w:rsidRPr="00DE3900">
        <w:rPr>
          <w:rFonts w:ascii="Arial" w:hAnsi="Arial" w:cs="Arial"/>
          <w:b/>
          <w:bCs/>
          <w:sz w:val="28"/>
          <w:szCs w:val="28"/>
        </w:rPr>
        <w:t>Large Metro, Metro and Micro Counties- Counseling MHP</w:t>
      </w:r>
    </w:p>
    <w:p w14:paraId="37ABF422" w14:textId="77777777" w:rsidR="00C662AE" w:rsidRPr="00EE31F7" w:rsidRDefault="00C662AE" w:rsidP="00583120">
      <w:pPr>
        <w:spacing w:before="240" w:after="240"/>
        <w:textAlignment w:val="baseline"/>
        <w:rPr>
          <w:rFonts w:ascii="Arial" w:hAnsi="Arial" w:cs="Arial"/>
          <w:b/>
          <w:bCs/>
          <w:strike/>
        </w:rPr>
      </w:pPr>
      <w:r w:rsidRPr="00EE31F7">
        <w:rPr>
          <w:rFonts w:ascii="Arial" w:hAnsi="Arial" w:cs="Arial"/>
          <w:b/>
          <w:bCs/>
          <w:strike/>
        </w:rPr>
        <w:t>The California Department of Consumer Affairs Licensee List - Counseling MHPs</w:t>
      </w:r>
    </w:p>
    <w:p w14:paraId="5AC198A9" w14:textId="6AD50655" w:rsidR="00C662AE" w:rsidRPr="00EE31F7" w:rsidRDefault="00C662AE" w:rsidP="00583120">
      <w:pPr>
        <w:spacing w:after="240"/>
        <w:textAlignment w:val="baseline"/>
        <w:rPr>
          <w:rFonts w:ascii="Arial" w:hAnsi="Arial" w:cs="Arial"/>
        </w:rPr>
      </w:pPr>
      <w:r w:rsidRPr="00EE31F7">
        <w:rPr>
          <w:rFonts w:ascii="Arial" w:hAnsi="Arial" w:cs="Arial"/>
        </w:rPr>
        <w:t xml:space="preserve">As set forth in the Counseling </w:t>
      </w:r>
      <w:r w:rsidR="009D7056" w:rsidRPr="00EE31F7">
        <w:rPr>
          <w:rFonts w:ascii="Arial" w:hAnsi="Arial" w:cs="Arial"/>
          <w:u w:val="single"/>
        </w:rPr>
        <w:t xml:space="preserve">Non-Physician Mental Health Professional </w:t>
      </w:r>
      <w:r w:rsidR="008C5960" w:rsidRPr="008C5960">
        <w:rPr>
          <w:rFonts w:ascii="Arial" w:hAnsi="Arial" w:cs="Arial"/>
          <w:strike/>
        </w:rPr>
        <w:t>MHP</w:t>
      </w:r>
      <w:r w:rsidR="008C5960" w:rsidRPr="008C5960">
        <w:rPr>
          <w:rFonts w:ascii="Arial" w:hAnsi="Arial" w:cs="Arial"/>
        </w:rPr>
        <w:t xml:space="preserve"> </w:t>
      </w:r>
      <w:r w:rsidRPr="00EE31F7">
        <w:rPr>
          <w:rFonts w:ascii="Arial" w:hAnsi="Arial" w:cs="Arial"/>
        </w:rPr>
        <w:t xml:space="preserve">Ratio Standards and Methodology document for the Combined County Ratio Modifier for Large Metro, Metro and Micro Counties, for a deficient Large Metro, Metro, or Micro County to be eligible for a combined county ratio, the </w:t>
      </w:r>
      <w:r w:rsidR="001E4B14" w:rsidRPr="00EE31F7">
        <w:rPr>
          <w:rFonts w:ascii="Arial" w:hAnsi="Arial" w:cs="Arial"/>
        </w:rPr>
        <w:t>C</w:t>
      </w:r>
      <w:r w:rsidRPr="00EE31F7">
        <w:rPr>
          <w:rFonts w:ascii="Arial" w:hAnsi="Arial" w:cs="Arial"/>
        </w:rPr>
        <w:t xml:space="preserve">ounseling MHP network providers within the county must be equal to or greater than 30% of the DCA count of county </w:t>
      </w:r>
      <w:r w:rsidR="001E4B14" w:rsidRPr="00EE31F7">
        <w:rPr>
          <w:rFonts w:ascii="Arial" w:hAnsi="Arial" w:cs="Arial"/>
        </w:rPr>
        <w:t>C</w:t>
      </w:r>
      <w:r w:rsidRPr="00EE31F7">
        <w:rPr>
          <w:rFonts w:ascii="Arial" w:hAnsi="Arial" w:cs="Arial"/>
        </w:rPr>
        <w:t>ounseling MHPs.</w:t>
      </w:r>
    </w:p>
    <w:p w14:paraId="500A8334" w14:textId="6ACD225B" w:rsidR="00C662AE" w:rsidRPr="00EE31F7" w:rsidRDefault="00C662AE" w:rsidP="00583120">
      <w:pPr>
        <w:spacing w:after="240"/>
        <w:textAlignment w:val="baseline"/>
        <w:rPr>
          <w:rFonts w:ascii="Arial" w:hAnsi="Arial" w:cs="Arial"/>
        </w:rPr>
      </w:pPr>
      <w:r w:rsidRPr="00EE31F7">
        <w:rPr>
          <w:rFonts w:ascii="Arial" w:hAnsi="Arial" w:cs="Arial"/>
        </w:rPr>
        <w:t xml:space="preserve">Where the service area includes a partial Large Metro, Metro, or Micro County, the 30% threshold is not required if the partial county service area accounts for fewer than 20% of the ZIP Codes contained within the county or fewer than 20% of the population count for the county, as set forth in section </w:t>
      </w:r>
      <w:r w:rsidR="00B501D3" w:rsidRPr="00EE31F7">
        <w:rPr>
          <w:rFonts w:ascii="Arial" w:hAnsi="Arial" w:cs="Arial"/>
        </w:rPr>
        <w:t>I.</w:t>
      </w:r>
      <w:r w:rsidRPr="00EE31F7">
        <w:rPr>
          <w:rFonts w:ascii="Arial" w:hAnsi="Arial" w:cs="Arial"/>
        </w:rPr>
        <w:t xml:space="preserve">E of the Counseling </w:t>
      </w:r>
      <w:r w:rsidR="00C93777" w:rsidRPr="00EE31F7">
        <w:rPr>
          <w:rFonts w:ascii="Arial" w:hAnsi="Arial" w:cs="Arial"/>
          <w:u w:val="single"/>
        </w:rPr>
        <w:t xml:space="preserve">Non-Physician Mental Health Professional </w:t>
      </w:r>
      <w:r w:rsidR="00BE3E50" w:rsidRPr="00BE3E50">
        <w:rPr>
          <w:rFonts w:ascii="Arial" w:hAnsi="Arial" w:cs="Arial"/>
          <w:strike/>
        </w:rPr>
        <w:t>MHP</w:t>
      </w:r>
      <w:r w:rsidR="00BE3E50">
        <w:rPr>
          <w:rFonts w:ascii="Arial" w:hAnsi="Arial" w:cs="Arial"/>
        </w:rPr>
        <w:t xml:space="preserve"> </w:t>
      </w:r>
      <w:r w:rsidRPr="00EE31F7">
        <w:rPr>
          <w:rFonts w:ascii="Arial" w:hAnsi="Arial" w:cs="Arial"/>
        </w:rPr>
        <w:t>Ratio Standards and Methodology document. In such cases, the Large Metro, Metro, or Micro County would follow the county grouping methodology described for CEAC and Rural Counties described in Schedule A-4.</w:t>
      </w:r>
    </w:p>
    <w:p w14:paraId="3E584CBD" w14:textId="0B6F8534" w:rsidR="00C662AE" w:rsidRPr="00EE31F7" w:rsidRDefault="00C662AE" w:rsidP="00583120">
      <w:pPr>
        <w:textAlignment w:val="baseline"/>
        <w:rPr>
          <w:rFonts w:ascii="Arial" w:hAnsi="Arial" w:cs="Arial"/>
        </w:rPr>
      </w:pPr>
      <w:r w:rsidRPr="00EE31F7">
        <w:rPr>
          <w:rFonts w:ascii="Arial" w:hAnsi="Arial" w:cs="Arial"/>
        </w:rPr>
        <w:t xml:space="preserve">The California Department of Consumer Affairs (DCA) maintains lists updated monthly of licensed </w:t>
      </w:r>
      <w:r w:rsidR="001E4B14" w:rsidRPr="00EE31F7">
        <w:rPr>
          <w:rFonts w:ascii="Arial" w:hAnsi="Arial" w:cs="Arial"/>
        </w:rPr>
        <w:t>C</w:t>
      </w:r>
      <w:r w:rsidRPr="00EE31F7">
        <w:rPr>
          <w:rFonts w:ascii="Arial" w:hAnsi="Arial" w:cs="Arial"/>
        </w:rPr>
        <w:t>ounseling MHPs available at:</w:t>
      </w:r>
      <w:r w:rsidR="009E60AF" w:rsidRPr="00EE31F7">
        <w:rPr>
          <w:rFonts w:ascii="Arial" w:hAnsi="Arial" w:cs="Arial"/>
        </w:rPr>
        <w:t xml:space="preserve"> </w:t>
      </w:r>
      <w:hyperlink r:id="rId11" w:history="1">
        <w:r w:rsidR="00AC15A7" w:rsidRPr="00EE31F7">
          <w:rPr>
            <w:rStyle w:val="Hyperlink"/>
            <w:rFonts w:ascii="Arial" w:hAnsi="Arial" w:cs="Arial"/>
            <w:color w:val="auto"/>
            <w:u w:val="none"/>
          </w:rPr>
          <w:t>https://www.dca.ca.gov/consumers/public_info/index.shtml</w:t>
        </w:r>
      </w:hyperlink>
      <w:r w:rsidRPr="00EE31F7">
        <w:rPr>
          <w:rFonts w:ascii="Arial" w:hAnsi="Arial" w:cs="Arial"/>
        </w:rPr>
        <w:t>. Within these lists, the BehavioralSciences_0200 list includes licensed clinical social workers, licensed marriage and family therapists, and licensed professional clinical counselors with current licensure status. The Psychology_0600 list includes psychologists with current licensure status. Counts for each county are calculated from these lists, as of the January 15</w:t>
      </w:r>
      <w:r w:rsidRPr="00EE31F7">
        <w:rPr>
          <w:rFonts w:ascii="Arial" w:hAnsi="Arial" w:cs="Arial"/>
          <w:vertAlign w:val="superscript"/>
        </w:rPr>
        <w:t>th</w:t>
      </w:r>
      <w:r w:rsidRPr="00EE31F7">
        <w:rPr>
          <w:rFonts w:ascii="Arial" w:hAnsi="Arial" w:cs="Arial"/>
        </w:rPr>
        <w:t xml:space="preserve"> network capture date.</w:t>
      </w:r>
    </w:p>
    <w:p w14:paraId="5C84C93F" w14:textId="77777777" w:rsidR="00C662AE" w:rsidRPr="00EE31F7" w:rsidRDefault="00C662AE" w:rsidP="00583120">
      <w:pPr>
        <w:spacing w:after="160"/>
        <w:rPr>
          <w:rFonts w:ascii="Arial" w:hAnsi="Arial" w:cs="Arial"/>
        </w:rPr>
      </w:pPr>
      <w:r w:rsidRPr="00EE31F7">
        <w:rPr>
          <w:rFonts w:ascii="Arial" w:hAnsi="Arial" w:cs="Arial"/>
        </w:rPr>
        <w:br w:type="page"/>
      </w:r>
    </w:p>
    <w:p w14:paraId="6D2966E0" w14:textId="77777777" w:rsidR="00C662AE" w:rsidRPr="008320F3" w:rsidRDefault="00C662AE" w:rsidP="00583120">
      <w:pPr>
        <w:pStyle w:val="Heading1"/>
      </w:pPr>
      <w:r w:rsidRPr="008320F3">
        <w:lastRenderedPageBreak/>
        <w:t>Schedule A-6</w:t>
      </w:r>
    </w:p>
    <w:p w14:paraId="685C9C47" w14:textId="77777777" w:rsidR="00C662AE" w:rsidRDefault="00C662AE" w:rsidP="00583120">
      <w:pPr>
        <w:jc w:val="center"/>
        <w:rPr>
          <w:rFonts w:ascii="Arial" w:hAnsi="Arial" w:cs="Arial"/>
          <w:b/>
          <w:bCs/>
          <w:sz w:val="28"/>
          <w:szCs w:val="28"/>
        </w:rPr>
      </w:pPr>
      <w:r w:rsidRPr="002356F6">
        <w:rPr>
          <w:rFonts w:ascii="Arial" w:hAnsi="Arial" w:cs="Arial"/>
          <w:b/>
          <w:bCs/>
          <w:sz w:val="28"/>
          <w:szCs w:val="28"/>
        </w:rPr>
        <w:t>Methodology for Calculating Network Ratio – Counseling MHPs</w:t>
      </w:r>
    </w:p>
    <w:p w14:paraId="43E44834" w14:textId="769235EE" w:rsidR="00C662AE" w:rsidRPr="00EE31F7" w:rsidRDefault="00DD73C3" w:rsidP="00583120">
      <w:pPr>
        <w:spacing w:before="240" w:after="160"/>
        <w:textAlignment w:val="baseline"/>
        <w:rPr>
          <w:rFonts w:ascii="Arial" w:hAnsi="Arial" w:cs="Arial"/>
        </w:rPr>
      </w:pPr>
      <w:r w:rsidRPr="00EE31F7">
        <w:rPr>
          <w:rFonts w:ascii="Arial" w:hAnsi="Arial" w:cs="Arial"/>
        </w:rPr>
        <w:t>The n</w:t>
      </w:r>
      <w:r w:rsidR="00C662AE" w:rsidRPr="00EE31F7">
        <w:rPr>
          <w:rFonts w:ascii="Arial" w:hAnsi="Arial" w:cs="Arial"/>
        </w:rPr>
        <w:t>etwork</w:t>
      </w:r>
      <w:r w:rsidR="00C662AE" w:rsidRPr="00EE31F7" w:rsidDel="0038730F">
        <w:rPr>
          <w:rFonts w:ascii="Arial" w:hAnsi="Arial" w:cs="Arial"/>
        </w:rPr>
        <w:t xml:space="preserve"> </w:t>
      </w:r>
      <w:r w:rsidR="00C662AE" w:rsidRPr="00EE31F7">
        <w:rPr>
          <w:rFonts w:ascii="Arial" w:hAnsi="Arial" w:cs="Arial"/>
        </w:rPr>
        <w:t xml:space="preserve">ratio will be evaluated using total network enrollment, and the total FTEs and telehealth ratio modifiers across all counties with in-person providers. The alternative methodology adjustments to FTEs for EPs and high enrollment counties will be applied to network service area counties. </w:t>
      </w:r>
      <w:r w:rsidR="00D279D6" w:rsidRPr="00EE31F7">
        <w:rPr>
          <w:rFonts w:ascii="Arial" w:hAnsi="Arial" w:cs="Arial"/>
          <w:shd w:val="clear" w:color="auto" w:fill="FFFFFF"/>
        </w:rPr>
        <w:t>If</w:t>
      </w:r>
      <w:r w:rsidR="00A95D6C" w:rsidRPr="00EE31F7">
        <w:rPr>
          <w:rFonts w:ascii="Arial" w:hAnsi="Arial" w:cs="Arial"/>
          <w:shd w:val="clear" w:color="auto" w:fill="FFFFFF"/>
        </w:rPr>
        <w:t xml:space="preserve"> an alternative methodology is applied to a network provider that modifies the provider’s original FTE starting value with adjustments, the application of the alternative methodology shall not </w:t>
      </w:r>
      <w:r w:rsidR="005C3BF0" w:rsidRPr="00EE31F7">
        <w:rPr>
          <w:rFonts w:ascii="Arial" w:hAnsi="Arial" w:cs="Arial"/>
          <w:shd w:val="clear" w:color="auto" w:fill="FFFFFF"/>
        </w:rPr>
        <w:t>generate</w:t>
      </w:r>
      <w:r w:rsidR="00A95D6C" w:rsidRPr="00EE31F7">
        <w:rPr>
          <w:rFonts w:ascii="Arial" w:hAnsi="Arial" w:cs="Arial"/>
          <w:shd w:val="clear" w:color="auto" w:fill="FFFFFF"/>
        </w:rPr>
        <w:t xml:space="preserve"> an FTE value for the</w:t>
      </w:r>
      <w:r w:rsidR="00A7073F" w:rsidRPr="00EE31F7">
        <w:rPr>
          <w:rFonts w:ascii="Arial" w:hAnsi="Arial" w:cs="Arial"/>
          <w:shd w:val="clear" w:color="auto" w:fill="FFFFFF"/>
        </w:rPr>
        <w:t xml:space="preserve"> </w:t>
      </w:r>
      <w:r w:rsidR="00A7073F" w:rsidRPr="00EE31F7">
        <w:rPr>
          <w:rFonts w:ascii="Arial" w:hAnsi="Arial" w:cs="Arial"/>
          <w:u w:val="single"/>
          <w:shd w:val="clear" w:color="auto" w:fill="FFFFFF"/>
        </w:rPr>
        <w:t>network</w:t>
      </w:r>
      <w:r w:rsidR="00A95D6C" w:rsidRPr="00EE31F7">
        <w:rPr>
          <w:rFonts w:ascii="Arial" w:hAnsi="Arial" w:cs="Arial"/>
          <w:u w:val="single"/>
          <w:shd w:val="clear" w:color="auto" w:fill="FFFFFF"/>
        </w:rPr>
        <w:t xml:space="preserve"> </w:t>
      </w:r>
      <w:r w:rsidR="00A95D6C" w:rsidRPr="00EE31F7">
        <w:rPr>
          <w:rFonts w:ascii="Arial" w:hAnsi="Arial" w:cs="Arial"/>
          <w:strike/>
          <w:shd w:val="clear" w:color="auto" w:fill="FFFFFF"/>
        </w:rPr>
        <w:t xml:space="preserve">provider </w:t>
      </w:r>
      <w:r w:rsidR="00A95D6C" w:rsidRPr="00EE31F7">
        <w:rPr>
          <w:rFonts w:ascii="Arial" w:hAnsi="Arial" w:cs="Arial"/>
          <w:shd w:val="clear" w:color="auto" w:fill="FFFFFF"/>
        </w:rPr>
        <w:t>that exceeds 0.</w:t>
      </w:r>
      <w:r w:rsidR="00D5732D" w:rsidRPr="00EE31F7">
        <w:rPr>
          <w:rFonts w:ascii="Arial" w:hAnsi="Arial" w:cs="Arial"/>
          <w:shd w:val="clear" w:color="auto" w:fill="FFFFFF"/>
        </w:rPr>
        <w:t>8</w:t>
      </w:r>
      <w:r w:rsidR="00A7073F" w:rsidRPr="00EE31F7">
        <w:rPr>
          <w:rFonts w:ascii="Arial" w:hAnsi="Arial" w:cs="Arial"/>
          <w:u w:val="single"/>
          <w:shd w:val="clear" w:color="auto" w:fill="FFFFFF"/>
        </w:rPr>
        <w:t xml:space="preserve"> of the provider count</w:t>
      </w:r>
      <w:r w:rsidR="005C3BF0" w:rsidRPr="00EE31F7">
        <w:rPr>
          <w:rFonts w:ascii="Arial" w:hAnsi="Arial" w:cs="Arial"/>
          <w:shd w:val="clear" w:color="auto" w:fill="FFFFFF"/>
        </w:rPr>
        <w:t xml:space="preserve">. </w:t>
      </w:r>
      <w:r w:rsidR="00C662AE" w:rsidRPr="00EE31F7">
        <w:rPr>
          <w:rFonts w:ascii="Arial" w:hAnsi="Arial" w:cs="Arial"/>
        </w:rPr>
        <w:t>The telehealth ratio modifier will be applied to networks with telehealth-only providers.</w:t>
      </w:r>
    </w:p>
    <w:p w14:paraId="27B2C8C3" w14:textId="184BE2D5" w:rsidR="00C662AE" w:rsidRPr="00EE31F7" w:rsidRDefault="00716404" w:rsidP="00583120">
      <w:pPr>
        <w:spacing w:after="160"/>
        <w:textAlignment w:val="baseline"/>
        <w:rPr>
          <w:rFonts w:ascii="Arial" w:hAnsi="Arial" w:cs="Arial"/>
        </w:rPr>
      </w:pPr>
      <w:r w:rsidRPr="00EE31F7">
        <w:rPr>
          <w:rFonts w:ascii="Arial" w:hAnsi="Arial" w:cs="Arial"/>
          <w:u w:val="single"/>
        </w:rPr>
        <w:t xml:space="preserve">Where network providers are located in counties outside of the network service area, the DMHC will include those providers in its network ratio calculation. </w:t>
      </w:r>
      <w:r w:rsidR="00C662AE" w:rsidRPr="00EE31F7">
        <w:rPr>
          <w:rFonts w:ascii="Arial" w:hAnsi="Arial" w:cs="Arial"/>
        </w:rPr>
        <w:t>The D</w:t>
      </w:r>
      <w:r w:rsidR="000A6AB4" w:rsidRPr="00EE31F7">
        <w:rPr>
          <w:rFonts w:ascii="Arial" w:hAnsi="Arial" w:cs="Arial"/>
        </w:rPr>
        <w:t>MHC</w:t>
      </w:r>
      <w:r w:rsidR="00C662AE" w:rsidRPr="00EE31F7">
        <w:rPr>
          <w:rFonts w:ascii="Arial" w:hAnsi="Arial" w:cs="Arial"/>
        </w:rPr>
        <w:t xml:space="preserve"> will calculate FTE values for in-person network providers </w:t>
      </w:r>
      <w:r w:rsidR="00C662AE" w:rsidRPr="00EE31F7">
        <w:rPr>
          <w:rFonts w:ascii="Arial" w:hAnsi="Arial" w:cs="Arial"/>
          <w:i/>
        </w:rPr>
        <w:t>outside</w:t>
      </w:r>
      <w:r w:rsidR="00C662AE" w:rsidRPr="00EE31F7">
        <w:rPr>
          <w:rFonts w:ascii="Arial" w:hAnsi="Arial" w:cs="Arial"/>
        </w:rPr>
        <w:t xml:space="preserve"> of the network service area according to the FTE Starting Values and FTE Starting Value Adjustments listed in section </w:t>
      </w:r>
      <w:r w:rsidR="00B501D3" w:rsidRPr="00EE31F7">
        <w:rPr>
          <w:rFonts w:ascii="Arial" w:hAnsi="Arial" w:cs="Arial"/>
          <w:u w:val="single"/>
        </w:rPr>
        <w:t>I.</w:t>
      </w:r>
      <w:r w:rsidR="00C662AE" w:rsidRPr="00EE31F7">
        <w:rPr>
          <w:rFonts w:ascii="Arial" w:hAnsi="Arial" w:cs="Arial"/>
        </w:rPr>
        <w:t xml:space="preserve">C of the Counseling </w:t>
      </w:r>
      <w:r w:rsidR="00C075F9" w:rsidRPr="00EE31F7">
        <w:rPr>
          <w:rFonts w:ascii="Arial" w:hAnsi="Arial" w:cs="Arial"/>
        </w:rPr>
        <w:t xml:space="preserve">Non-Physician Mental Health Professional </w:t>
      </w:r>
      <w:r w:rsidR="00E2249C" w:rsidRPr="00EE31F7">
        <w:rPr>
          <w:rFonts w:ascii="Arial" w:hAnsi="Arial" w:cs="Arial"/>
        </w:rPr>
        <w:t xml:space="preserve">Ratio </w:t>
      </w:r>
      <w:r w:rsidR="00C662AE" w:rsidRPr="00EE31F7">
        <w:rPr>
          <w:rFonts w:ascii="Arial" w:hAnsi="Arial" w:cs="Arial"/>
        </w:rPr>
        <w:t>Standards and Methodology document, and as further detailed in Schedule A, Table A. In-person network providers outside of the network service area are not subject to alternative methodology adjustments for telehealth-only providers, EPs, or high enrollment counties.</w:t>
      </w:r>
    </w:p>
    <w:p w14:paraId="10CC9A77" w14:textId="4C1B58B8" w:rsidR="00C662AE" w:rsidRPr="00EE31F7" w:rsidRDefault="00C662AE" w:rsidP="00583120">
      <w:pPr>
        <w:spacing w:after="160"/>
        <w:textAlignment w:val="baseline"/>
        <w:rPr>
          <w:rFonts w:ascii="Arial" w:hAnsi="Arial" w:cs="Arial"/>
          <w:b/>
          <w:bCs/>
        </w:rPr>
      </w:pPr>
      <w:r w:rsidRPr="00EE31F7">
        <w:rPr>
          <w:rFonts w:ascii="Arial" w:hAnsi="Arial" w:cs="Arial"/>
          <w:b/>
          <w:bCs/>
        </w:rPr>
        <w:t>Example</w:t>
      </w:r>
      <w:r w:rsidR="000F24D0" w:rsidRPr="00EE31F7">
        <w:rPr>
          <w:rFonts w:ascii="Arial" w:hAnsi="Arial" w:cs="Arial"/>
          <w:b/>
          <w:bCs/>
        </w:rPr>
        <w:t xml:space="preserve"> </w:t>
      </w:r>
      <w:r w:rsidR="000F24D0" w:rsidRPr="00EE31F7">
        <w:rPr>
          <w:rFonts w:ascii="Arial" w:hAnsi="Arial" w:cs="Arial"/>
          <w:b/>
          <w:bCs/>
          <w:u w:val="single"/>
        </w:rPr>
        <w:t>6</w:t>
      </w:r>
      <w:r w:rsidRPr="00EE31F7">
        <w:rPr>
          <w:rFonts w:ascii="Arial" w:hAnsi="Arial" w:cs="Arial"/>
          <w:b/>
          <w:bCs/>
        </w:rPr>
        <w:t>:</w:t>
      </w:r>
    </w:p>
    <w:p w14:paraId="144E6E7F" w14:textId="104FC9CF" w:rsidR="00C662AE" w:rsidRPr="00EE31F7" w:rsidRDefault="00C662AE" w:rsidP="00583120">
      <w:pPr>
        <w:spacing w:after="160"/>
        <w:textAlignment w:val="baseline"/>
        <w:rPr>
          <w:rFonts w:ascii="Arial" w:hAnsi="Arial" w:cs="Arial"/>
        </w:rPr>
      </w:pPr>
      <w:r w:rsidRPr="00EE31F7">
        <w:rPr>
          <w:rFonts w:ascii="Arial" w:hAnsi="Arial" w:cs="Arial"/>
          <w:b/>
          <w:bCs/>
        </w:rPr>
        <w:t>Table I</w:t>
      </w:r>
      <w:r w:rsidRPr="00EE31F7">
        <w:rPr>
          <w:rFonts w:ascii="Arial" w:hAnsi="Arial" w:cs="Arial"/>
        </w:rPr>
        <w:t xml:space="preserve"> below depicts an example network ratio calculation </w:t>
      </w:r>
      <w:r w:rsidR="00EC548F" w:rsidRPr="00EE31F7">
        <w:rPr>
          <w:rFonts w:ascii="Arial" w:hAnsi="Arial" w:cs="Arial"/>
          <w:u w:val="single"/>
        </w:rPr>
        <w:t xml:space="preserve">for a network service area comprised of only Siskiyou, Shasta, and Trinity counties. </w:t>
      </w:r>
      <w:r w:rsidR="00C704B5" w:rsidRPr="00EE31F7">
        <w:rPr>
          <w:rFonts w:ascii="Arial" w:hAnsi="Arial" w:cs="Arial"/>
          <w:u w:val="single"/>
        </w:rPr>
        <w:t>It uses</w:t>
      </w:r>
      <w:r w:rsidR="00EC548F" w:rsidRPr="00EE31F7">
        <w:rPr>
          <w:rFonts w:ascii="Arial" w:hAnsi="Arial" w:cs="Arial"/>
          <w:strike/>
        </w:rPr>
        <w:t xml:space="preserve"> </w:t>
      </w:r>
      <w:r w:rsidRPr="00EE31F7">
        <w:rPr>
          <w:rFonts w:ascii="Arial" w:hAnsi="Arial" w:cs="Arial"/>
          <w:strike/>
        </w:rPr>
        <w:t>using</w:t>
      </w:r>
      <w:r w:rsidRPr="00EE31F7">
        <w:rPr>
          <w:rFonts w:ascii="Arial" w:hAnsi="Arial" w:cs="Arial"/>
        </w:rPr>
        <w:t xml:space="preserve"> the hypothetical network </w:t>
      </w:r>
      <w:r w:rsidRPr="00EE31F7">
        <w:rPr>
          <w:rFonts w:ascii="Arial" w:hAnsi="Arial" w:cs="Arial"/>
          <w:strike/>
        </w:rPr>
        <w:t xml:space="preserve">counties </w:t>
      </w:r>
      <w:r w:rsidR="002023A0" w:rsidRPr="00EE31F7">
        <w:rPr>
          <w:rFonts w:ascii="Arial" w:hAnsi="Arial" w:cs="Arial"/>
          <w:u w:val="single"/>
        </w:rPr>
        <w:t xml:space="preserve">county </w:t>
      </w:r>
      <w:r w:rsidR="00C704B5" w:rsidRPr="00EE31F7">
        <w:rPr>
          <w:rFonts w:ascii="Arial" w:hAnsi="Arial" w:cs="Arial"/>
          <w:u w:val="single"/>
        </w:rPr>
        <w:t>data</w:t>
      </w:r>
      <w:r w:rsidR="00C704B5" w:rsidRPr="00EE31F7">
        <w:rPr>
          <w:rFonts w:ascii="Arial" w:hAnsi="Arial" w:cs="Arial"/>
          <w:strike/>
        </w:rPr>
        <w:t xml:space="preserve"> </w:t>
      </w:r>
      <w:r w:rsidRPr="00EE31F7">
        <w:rPr>
          <w:rFonts w:ascii="Arial" w:hAnsi="Arial" w:cs="Arial"/>
        </w:rPr>
        <w:t>depicted in the example tables within Schedules A, A-1, A-2, A-3, and A-4. An additional non-network service area county, Lake County, has been added to this hypothetical.</w:t>
      </w:r>
    </w:p>
    <w:p w14:paraId="1FF1B882" w14:textId="324C85E5" w:rsidR="00C662AE" w:rsidRPr="0045472C" w:rsidRDefault="00C662AE" w:rsidP="00583120">
      <w:pPr>
        <w:spacing w:after="160"/>
        <w:textAlignment w:val="baseline"/>
        <w:rPr>
          <w:rFonts w:ascii="Arial" w:hAnsi="Arial" w:cs="Arial"/>
        </w:rPr>
      </w:pPr>
      <w:r w:rsidRPr="00EE31F7">
        <w:rPr>
          <w:rFonts w:ascii="Arial" w:hAnsi="Arial" w:cs="Arial"/>
        </w:rPr>
        <w:t xml:space="preserve">In this example, there are six full-time network providers located in Lake County, three of which </w:t>
      </w:r>
      <w:r w:rsidR="00F672F2" w:rsidRPr="00EE31F7">
        <w:rPr>
          <w:rFonts w:ascii="Arial" w:hAnsi="Arial" w:cs="Arial"/>
          <w:u w:val="single"/>
        </w:rPr>
        <w:t xml:space="preserve">also </w:t>
      </w:r>
      <w:r w:rsidRPr="00EE31F7">
        <w:rPr>
          <w:rFonts w:ascii="Arial" w:hAnsi="Arial" w:cs="Arial"/>
        </w:rPr>
        <w:t>have in-person locations in</w:t>
      </w:r>
      <w:r w:rsidRPr="00EE31F7">
        <w:rPr>
          <w:rFonts w:ascii="Arial" w:hAnsi="Arial" w:cs="Arial"/>
          <w:strike/>
        </w:rPr>
        <w:t xml:space="preserve"> multiple</w:t>
      </w:r>
      <w:r w:rsidRPr="00EE31F7">
        <w:rPr>
          <w:rFonts w:ascii="Arial" w:hAnsi="Arial" w:cs="Arial"/>
        </w:rPr>
        <w:t xml:space="preserve"> counties</w:t>
      </w:r>
      <w:r w:rsidR="00F672F2" w:rsidRPr="00EE31F7">
        <w:rPr>
          <w:rFonts w:ascii="Arial" w:hAnsi="Arial" w:cs="Arial"/>
        </w:rPr>
        <w:t xml:space="preserve"> </w:t>
      </w:r>
      <w:r w:rsidR="00F672F2" w:rsidRPr="00EE31F7">
        <w:rPr>
          <w:rFonts w:ascii="Arial" w:hAnsi="Arial" w:cs="Arial"/>
          <w:u w:val="single"/>
        </w:rPr>
        <w:t>inside the network service area</w:t>
      </w:r>
      <w:r w:rsidRPr="00EE31F7">
        <w:rPr>
          <w:rFonts w:ascii="Arial" w:hAnsi="Arial" w:cs="Arial"/>
          <w:u w:val="single"/>
        </w:rPr>
        <w:t xml:space="preserve">. </w:t>
      </w:r>
      <w:r w:rsidR="00A82F9B" w:rsidRPr="00EE31F7">
        <w:rPr>
          <w:rFonts w:ascii="Arial" w:hAnsi="Arial" w:cs="Arial"/>
          <w:u w:val="single"/>
        </w:rPr>
        <w:t>As a result, the addition of Lake County to the analysis allows for three additional full-value providers to be included in the FTE calculation.</w:t>
      </w:r>
      <w:r w:rsidR="00A82F9B" w:rsidRPr="00EE31F7">
        <w:rPr>
          <w:rFonts w:ascii="Arial" w:hAnsi="Arial" w:cs="Arial"/>
        </w:rPr>
        <w:t xml:space="preserve"> </w:t>
      </w:r>
      <w:r w:rsidRPr="00EE31F7">
        <w:rPr>
          <w:rFonts w:ascii="Arial" w:hAnsi="Arial" w:cs="Arial"/>
        </w:rPr>
        <w:t xml:space="preserve">This adds a summed </w:t>
      </w:r>
      <w:r w:rsidRPr="0045472C">
        <w:rPr>
          <w:rFonts w:ascii="Arial" w:hAnsi="Arial" w:cs="Arial"/>
        </w:rPr>
        <w:t>FTE value of 0.63 to the denominator of the network ratio calculation.</w:t>
      </w:r>
    </w:p>
    <w:p w14:paraId="2E71DDD6" w14:textId="23DB1091" w:rsidR="00916F01" w:rsidRPr="00EE31F7" w:rsidRDefault="00C662AE" w:rsidP="00583120">
      <w:pPr>
        <w:spacing w:after="160"/>
        <w:textAlignment w:val="baseline"/>
        <w:rPr>
          <w:rFonts w:ascii="Arial" w:hAnsi="Arial" w:cs="Arial"/>
          <w:b/>
          <w:bCs/>
        </w:rPr>
      </w:pPr>
      <w:r w:rsidRPr="0045472C">
        <w:rPr>
          <w:rFonts w:ascii="Arial" w:hAnsi="Arial" w:cs="Arial"/>
        </w:rPr>
        <w:t xml:space="preserve">The FTE values and telehealth ratio modifiers for the network service area counties are calculated in the same manner as those used for the combined county example in Schedule A-4, Table H above. Siskiyou County does not receive alternative modifier adjustments for EPs or high enrollment but does receive a telehealth ratio modifier. Trinity County does not receive any modifications as it has no in-person </w:t>
      </w:r>
      <w:r w:rsidR="003656CC" w:rsidRPr="0045472C">
        <w:rPr>
          <w:rFonts w:ascii="Arial" w:hAnsi="Arial" w:cs="Arial"/>
        </w:rPr>
        <w:t>C</w:t>
      </w:r>
      <w:r w:rsidRPr="0045472C">
        <w:rPr>
          <w:rFonts w:ascii="Arial" w:hAnsi="Arial" w:cs="Arial"/>
        </w:rPr>
        <w:t xml:space="preserve">ounseling </w:t>
      </w:r>
      <w:r w:rsidRPr="00EE31F7">
        <w:rPr>
          <w:rFonts w:ascii="Arial" w:hAnsi="Arial" w:cs="Arial"/>
        </w:rPr>
        <w:t>MHP network providers. Shasta County receives adjustments for telehealth, and alternative modifier adjustments for EPs and high enrollment.</w:t>
      </w:r>
    </w:p>
    <w:p w14:paraId="413735F0" w14:textId="77777777" w:rsidR="00B953F9" w:rsidRDefault="00B953F9" w:rsidP="00583120">
      <w:pPr>
        <w:spacing w:after="160"/>
        <w:rPr>
          <w:rFonts w:ascii="Arial" w:hAnsi="Arial" w:cs="Arial"/>
          <w:b/>
          <w:bCs/>
        </w:rPr>
      </w:pPr>
      <w:r>
        <w:rPr>
          <w:rFonts w:ascii="Arial" w:hAnsi="Arial" w:cs="Arial"/>
          <w:b/>
          <w:bCs/>
        </w:rPr>
        <w:br w:type="page"/>
      </w:r>
    </w:p>
    <w:p w14:paraId="0FFA28E6" w14:textId="67018AD0" w:rsidR="00916F01" w:rsidRPr="00EE31F7" w:rsidRDefault="00C662AE" w:rsidP="00583120">
      <w:pPr>
        <w:spacing w:after="240"/>
        <w:jc w:val="center"/>
        <w:textAlignment w:val="baseline"/>
        <w:rPr>
          <w:rFonts w:ascii="Arial" w:hAnsi="Arial" w:cs="Arial"/>
          <w:b/>
          <w:bCs/>
        </w:rPr>
      </w:pPr>
      <w:r w:rsidRPr="00EE31F7">
        <w:rPr>
          <w:rFonts w:ascii="Arial" w:hAnsi="Arial" w:cs="Arial"/>
          <w:b/>
          <w:bCs/>
        </w:rPr>
        <w:lastRenderedPageBreak/>
        <w:t>Table I: Network Counseling MHP Ratio Calculation*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I"/>
        <w:tblDescription w:val="Table I: Network Counseling MHP Ratio Calculation"/>
      </w:tblPr>
      <w:tblGrid>
        <w:gridCol w:w="2798"/>
        <w:gridCol w:w="1776"/>
        <w:gridCol w:w="1776"/>
        <w:gridCol w:w="1682"/>
        <w:gridCol w:w="1688"/>
      </w:tblGrid>
      <w:tr w:rsidR="00C662AE" w:rsidRPr="0045472C" w14:paraId="76DF858F" w14:textId="77777777" w:rsidTr="00825B81">
        <w:trPr>
          <w:trHeight w:val="773"/>
          <w:tblHeader/>
        </w:trPr>
        <w:tc>
          <w:tcPr>
            <w:tcW w:w="2695" w:type="dxa"/>
            <w:shd w:val="clear" w:color="auto" w:fill="035530"/>
            <w:vAlign w:val="center"/>
            <w:hideMark/>
          </w:tcPr>
          <w:p w14:paraId="387C2E52" w14:textId="77777777" w:rsidR="00C662AE" w:rsidRPr="0045472C" w:rsidRDefault="00C662AE" w:rsidP="00583120">
            <w:pPr>
              <w:jc w:val="center"/>
              <w:textAlignment w:val="baseline"/>
              <w:rPr>
                <w:rFonts w:ascii="Arial" w:hAnsi="Arial" w:cs="Arial"/>
              </w:rPr>
            </w:pPr>
            <w:r w:rsidRPr="0045472C">
              <w:rPr>
                <w:rFonts w:ascii="Arial" w:hAnsi="Arial" w:cs="Arial"/>
                <w:color w:val="FFFFFF"/>
              </w:rPr>
              <w:t> </w:t>
            </w:r>
          </w:p>
        </w:tc>
        <w:tc>
          <w:tcPr>
            <w:tcW w:w="1710" w:type="dxa"/>
            <w:shd w:val="clear" w:color="auto" w:fill="035530"/>
            <w:vAlign w:val="center"/>
            <w:hideMark/>
          </w:tcPr>
          <w:p w14:paraId="0F09E0D3" w14:textId="77777777" w:rsidR="00C662AE" w:rsidRPr="0045472C" w:rsidRDefault="00C662AE" w:rsidP="00583120">
            <w:pPr>
              <w:jc w:val="center"/>
              <w:textAlignment w:val="baseline"/>
              <w:rPr>
                <w:rFonts w:ascii="Arial" w:hAnsi="Arial" w:cs="Arial"/>
              </w:rPr>
            </w:pPr>
            <w:r w:rsidRPr="0045472C">
              <w:rPr>
                <w:rFonts w:ascii="Arial" w:hAnsi="Arial" w:cs="Arial"/>
                <w:b/>
                <w:color w:val="FFFFFF"/>
              </w:rPr>
              <w:t>Siskiyou</w:t>
            </w:r>
          </w:p>
        </w:tc>
        <w:tc>
          <w:tcPr>
            <w:tcW w:w="1710" w:type="dxa"/>
            <w:shd w:val="clear" w:color="auto" w:fill="035530"/>
            <w:vAlign w:val="center"/>
            <w:hideMark/>
          </w:tcPr>
          <w:p w14:paraId="0902BAC0" w14:textId="77777777" w:rsidR="00C662AE" w:rsidRPr="0045472C" w:rsidRDefault="00C662AE" w:rsidP="00583120">
            <w:pPr>
              <w:jc w:val="center"/>
              <w:textAlignment w:val="baseline"/>
              <w:rPr>
                <w:rFonts w:ascii="Arial" w:hAnsi="Arial" w:cs="Arial"/>
              </w:rPr>
            </w:pPr>
            <w:r w:rsidRPr="0045472C">
              <w:rPr>
                <w:rFonts w:ascii="Arial" w:hAnsi="Arial" w:cs="Arial"/>
                <w:b/>
                <w:color w:val="FFFFFF"/>
              </w:rPr>
              <w:t>Trinity</w:t>
            </w:r>
          </w:p>
        </w:tc>
        <w:tc>
          <w:tcPr>
            <w:tcW w:w="1620" w:type="dxa"/>
            <w:shd w:val="clear" w:color="auto" w:fill="035530"/>
            <w:vAlign w:val="center"/>
            <w:hideMark/>
          </w:tcPr>
          <w:p w14:paraId="48C2FECA" w14:textId="77777777" w:rsidR="00C662AE" w:rsidRPr="0045472C" w:rsidRDefault="00C662AE" w:rsidP="00583120">
            <w:pPr>
              <w:jc w:val="center"/>
              <w:textAlignment w:val="baseline"/>
              <w:rPr>
                <w:rFonts w:ascii="Arial" w:hAnsi="Arial" w:cs="Arial"/>
              </w:rPr>
            </w:pPr>
            <w:r w:rsidRPr="0045472C">
              <w:rPr>
                <w:rFonts w:ascii="Arial" w:hAnsi="Arial" w:cs="Arial"/>
                <w:b/>
                <w:color w:val="FFFFFF"/>
              </w:rPr>
              <w:t>Shasta</w:t>
            </w:r>
          </w:p>
        </w:tc>
        <w:tc>
          <w:tcPr>
            <w:tcW w:w="1625" w:type="dxa"/>
            <w:shd w:val="clear" w:color="auto" w:fill="035530"/>
            <w:vAlign w:val="center"/>
          </w:tcPr>
          <w:p w14:paraId="7BB55735" w14:textId="77777777" w:rsidR="00C662AE" w:rsidRPr="0045472C" w:rsidRDefault="00C662AE" w:rsidP="00583120">
            <w:pPr>
              <w:jc w:val="center"/>
              <w:textAlignment w:val="baseline"/>
              <w:rPr>
                <w:rFonts w:ascii="Arial" w:hAnsi="Arial" w:cs="Arial"/>
                <w:b/>
                <w:color w:val="FFFFFF"/>
              </w:rPr>
            </w:pPr>
            <w:r w:rsidRPr="0045472C">
              <w:rPr>
                <w:rFonts w:ascii="Arial" w:hAnsi="Arial" w:cs="Arial"/>
                <w:b/>
                <w:color w:val="FFFFFF"/>
              </w:rPr>
              <w:t>Lake</w:t>
            </w:r>
          </w:p>
        </w:tc>
      </w:tr>
      <w:tr w:rsidR="00EE31F7" w:rsidRPr="00EE31F7" w14:paraId="356E2C04" w14:textId="77777777" w:rsidTr="00825B81">
        <w:trPr>
          <w:trHeight w:val="1008"/>
        </w:trPr>
        <w:tc>
          <w:tcPr>
            <w:tcW w:w="2695" w:type="dxa"/>
            <w:vAlign w:val="center"/>
            <w:hideMark/>
          </w:tcPr>
          <w:p w14:paraId="7813C225" w14:textId="77777777" w:rsidR="00C662AE" w:rsidRPr="00EE31F7" w:rsidRDefault="00C662AE" w:rsidP="00583120">
            <w:pPr>
              <w:jc w:val="center"/>
              <w:textAlignment w:val="baseline"/>
              <w:rPr>
                <w:rFonts w:ascii="Arial" w:hAnsi="Arial" w:cs="Arial"/>
              </w:rPr>
            </w:pPr>
            <w:r w:rsidRPr="00EE31F7">
              <w:rPr>
                <w:rFonts w:ascii="Arial" w:hAnsi="Arial" w:cs="Arial"/>
              </w:rPr>
              <w:t>Network Service area county </w:t>
            </w:r>
          </w:p>
        </w:tc>
        <w:tc>
          <w:tcPr>
            <w:tcW w:w="1710" w:type="dxa"/>
            <w:vAlign w:val="center"/>
            <w:hideMark/>
          </w:tcPr>
          <w:p w14:paraId="290C07BE" w14:textId="77777777" w:rsidR="00C662AE" w:rsidRPr="00EE31F7" w:rsidRDefault="00C662AE" w:rsidP="00583120">
            <w:pPr>
              <w:jc w:val="center"/>
              <w:textAlignment w:val="baseline"/>
              <w:rPr>
                <w:rFonts w:ascii="Arial" w:hAnsi="Arial" w:cs="Arial"/>
              </w:rPr>
            </w:pPr>
            <w:r w:rsidRPr="00EE31F7">
              <w:rPr>
                <w:rFonts w:ascii="Arial" w:hAnsi="Arial" w:cs="Arial"/>
              </w:rPr>
              <w:t>Yes </w:t>
            </w:r>
          </w:p>
        </w:tc>
        <w:tc>
          <w:tcPr>
            <w:tcW w:w="1710" w:type="dxa"/>
            <w:vAlign w:val="center"/>
            <w:hideMark/>
          </w:tcPr>
          <w:p w14:paraId="4D91D911" w14:textId="77777777" w:rsidR="00C662AE" w:rsidRPr="00EE31F7" w:rsidRDefault="00C662AE" w:rsidP="00583120">
            <w:pPr>
              <w:jc w:val="center"/>
              <w:textAlignment w:val="baseline"/>
              <w:rPr>
                <w:rFonts w:ascii="Arial" w:hAnsi="Arial" w:cs="Arial"/>
              </w:rPr>
            </w:pPr>
            <w:r w:rsidRPr="00EE31F7">
              <w:rPr>
                <w:rFonts w:ascii="Arial" w:hAnsi="Arial" w:cs="Arial"/>
              </w:rPr>
              <w:t>Yes </w:t>
            </w:r>
          </w:p>
        </w:tc>
        <w:tc>
          <w:tcPr>
            <w:tcW w:w="1620" w:type="dxa"/>
            <w:vAlign w:val="center"/>
            <w:hideMark/>
          </w:tcPr>
          <w:p w14:paraId="6F41413B" w14:textId="77777777" w:rsidR="00C662AE" w:rsidRPr="00EE31F7" w:rsidRDefault="00C662AE" w:rsidP="00583120">
            <w:pPr>
              <w:jc w:val="center"/>
              <w:textAlignment w:val="baseline"/>
              <w:rPr>
                <w:rFonts w:ascii="Arial" w:hAnsi="Arial" w:cs="Arial"/>
              </w:rPr>
            </w:pPr>
            <w:r w:rsidRPr="00EE31F7">
              <w:rPr>
                <w:rFonts w:ascii="Arial" w:hAnsi="Arial" w:cs="Arial"/>
              </w:rPr>
              <w:t>Yes </w:t>
            </w:r>
          </w:p>
        </w:tc>
        <w:tc>
          <w:tcPr>
            <w:tcW w:w="1625" w:type="dxa"/>
            <w:vAlign w:val="center"/>
          </w:tcPr>
          <w:p w14:paraId="35706F64" w14:textId="77777777" w:rsidR="00C662AE" w:rsidRPr="00EE31F7" w:rsidRDefault="00C662AE" w:rsidP="00583120">
            <w:pPr>
              <w:jc w:val="center"/>
              <w:textAlignment w:val="baseline"/>
              <w:rPr>
                <w:rFonts w:ascii="Arial" w:hAnsi="Arial" w:cs="Arial"/>
              </w:rPr>
            </w:pPr>
            <w:r w:rsidRPr="00EE31F7">
              <w:rPr>
                <w:rFonts w:ascii="Arial" w:hAnsi="Arial" w:cs="Arial"/>
              </w:rPr>
              <w:t>No</w:t>
            </w:r>
          </w:p>
        </w:tc>
      </w:tr>
      <w:tr w:rsidR="00EE31F7" w:rsidRPr="00EE31F7" w14:paraId="51738350" w14:textId="77777777" w:rsidTr="00825B81">
        <w:trPr>
          <w:trHeight w:val="1008"/>
        </w:trPr>
        <w:tc>
          <w:tcPr>
            <w:tcW w:w="2695" w:type="dxa"/>
            <w:vAlign w:val="center"/>
          </w:tcPr>
          <w:p w14:paraId="5E9B6361" w14:textId="77777777" w:rsidR="00C662AE" w:rsidRPr="00EE31F7" w:rsidRDefault="00C662AE" w:rsidP="00583120">
            <w:pPr>
              <w:jc w:val="center"/>
              <w:textAlignment w:val="baseline"/>
              <w:rPr>
                <w:rFonts w:ascii="Arial" w:hAnsi="Arial" w:cs="Arial"/>
              </w:rPr>
            </w:pPr>
            <w:r w:rsidRPr="00EE31F7">
              <w:rPr>
                <w:rFonts w:ascii="Arial" w:hAnsi="Arial" w:cs="Arial"/>
              </w:rPr>
              <w:t>Enrollment</w:t>
            </w:r>
          </w:p>
        </w:tc>
        <w:tc>
          <w:tcPr>
            <w:tcW w:w="1710" w:type="dxa"/>
            <w:vAlign w:val="center"/>
          </w:tcPr>
          <w:p w14:paraId="0A40567C" w14:textId="77777777" w:rsidR="00C662AE" w:rsidRPr="00EE31F7" w:rsidRDefault="00C662AE" w:rsidP="00583120">
            <w:pPr>
              <w:jc w:val="center"/>
              <w:textAlignment w:val="baseline"/>
              <w:rPr>
                <w:rFonts w:ascii="Arial" w:hAnsi="Arial" w:cs="Arial"/>
              </w:rPr>
            </w:pPr>
            <w:r w:rsidRPr="00EE31F7">
              <w:rPr>
                <w:rFonts w:ascii="Arial" w:hAnsi="Arial" w:cs="Arial"/>
              </w:rPr>
              <w:t>400</w:t>
            </w:r>
          </w:p>
        </w:tc>
        <w:tc>
          <w:tcPr>
            <w:tcW w:w="1710" w:type="dxa"/>
            <w:vAlign w:val="center"/>
          </w:tcPr>
          <w:p w14:paraId="61428925" w14:textId="77777777" w:rsidR="00C662AE" w:rsidRPr="00EE31F7" w:rsidRDefault="00C662AE" w:rsidP="00583120">
            <w:pPr>
              <w:jc w:val="center"/>
              <w:textAlignment w:val="baseline"/>
              <w:rPr>
                <w:rFonts w:ascii="Arial" w:hAnsi="Arial" w:cs="Arial"/>
              </w:rPr>
            </w:pPr>
            <w:r w:rsidRPr="00EE31F7">
              <w:rPr>
                <w:rFonts w:ascii="Arial" w:hAnsi="Arial" w:cs="Arial"/>
              </w:rPr>
              <w:t>80</w:t>
            </w:r>
          </w:p>
        </w:tc>
        <w:tc>
          <w:tcPr>
            <w:tcW w:w="1620" w:type="dxa"/>
            <w:vAlign w:val="center"/>
          </w:tcPr>
          <w:p w14:paraId="50942FD3" w14:textId="77777777" w:rsidR="00C662AE" w:rsidRPr="00EE31F7" w:rsidRDefault="00C662AE" w:rsidP="00583120">
            <w:pPr>
              <w:jc w:val="center"/>
              <w:textAlignment w:val="baseline"/>
              <w:rPr>
                <w:rFonts w:ascii="Arial" w:hAnsi="Arial" w:cs="Arial"/>
              </w:rPr>
            </w:pPr>
            <w:r w:rsidRPr="00EE31F7">
              <w:rPr>
                <w:rFonts w:ascii="Arial" w:hAnsi="Arial" w:cs="Arial"/>
              </w:rPr>
              <w:t>3,000</w:t>
            </w:r>
          </w:p>
        </w:tc>
        <w:tc>
          <w:tcPr>
            <w:tcW w:w="1625" w:type="dxa"/>
            <w:vAlign w:val="center"/>
          </w:tcPr>
          <w:p w14:paraId="5FFB9442" w14:textId="77777777" w:rsidR="00C662AE" w:rsidRPr="00EE31F7" w:rsidRDefault="00C662AE" w:rsidP="00583120">
            <w:pPr>
              <w:jc w:val="center"/>
              <w:textAlignment w:val="baseline"/>
              <w:rPr>
                <w:rFonts w:ascii="Arial" w:hAnsi="Arial" w:cs="Arial"/>
              </w:rPr>
            </w:pPr>
            <w:r w:rsidRPr="00EE31F7">
              <w:rPr>
                <w:rFonts w:ascii="Arial" w:hAnsi="Arial" w:cs="Arial"/>
              </w:rPr>
              <w:t>NA</w:t>
            </w:r>
          </w:p>
        </w:tc>
      </w:tr>
      <w:tr w:rsidR="00EE31F7" w:rsidRPr="00EE31F7" w14:paraId="14C888BF" w14:textId="77777777" w:rsidTr="00825B81">
        <w:trPr>
          <w:trHeight w:val="1382"/>
        </w:trPr>
        <w:tc>
          <w:tcPr>
            <w:tcW w:w="2695" w:type="dxa"/>
            <w:vAlign w:val="center"/>
          </w:tcPr>
          <w:p w14:paraId="57817E03" w14:textId="77777777" w:rsidR="00C662AE" w:rsidRPr="00EE31F7" w:rsidRDefault="00C662AE" w:rsidP="00583120">
            <w:pPr>
              <w:jc w:val="center"/>
              <w:textAlignment w:val="baseline"/>
              <w:rPr>
                <w:rFonts w:ascii="Arial" w:hAnsi="Arial" w:cs="Arial"/>
              </w:rPr>
            </w:pPr>
            <w:r w:rsidRPr="00EE31F7">
              <w:rPr>
                <w:rFonts w:ascii="Arial" w:hAnsi="Arial" w:cs="Arial"/>
              </w:rPr>
              <w:t>Full-Value Provider Count: Counseling MHP network providers</w:t>
            </w:r>
          </w:p>
        </w:tc>
        <w:tc>
          <w:tcPr>
            <w:tcW w:w="1710" w:type="dxa"/>
            <w:vAlign w:val="center"/>
          </w:tcPr>
          <w:p w14:paraId="1DCC0CCA" w14:textId="77777777" w:rsidR="00C662AE" w:rsidRPr="00EE31F7" w:rsidRDefault="00C662AE" w:rsidP="00583120">
            <w:pPr>
              <w:jc w:val="center"/>
              <w:textAlignment w:val="baseline"/>
              <w:rPr>
                <w:rFonts w:ascii="Arial" w:hAnsi="Arial" w:cs="Arial"/>
              </w:rPr>
            </w:pPr>
            <w:r w:rsidRPr="00EE31F7">
              <w:rPr>
                <w:rFonts w:ascii="Arial" w:hAnsi="Arial" w:cs="Arial"/>
              </w:rPr>
              <w:t>2</w:t>
            </w:r>
          </w:p>
        </w:tc>
        <w:tc>
          <w:tcPr>
            <w:tcW w:w="1710" w:type="dxa"/>
            <w:vAlign w:val="center"/>
          </w:tcPr>
          <w:p w14:paraId="381350BD" w14:textId="77777777" w:rsidR="00C662AE" w:rsidRPr="00EE31F7" w:rsidRDefault="00C662AE" w:rsidP="00583120">
            <w:pPr>
              <w:jc w:val="center"/>
              <w:textAlignment w:val="baseline"/>
              <w:rPr>
                <w:rFonts w:ascii="Arial" w:hAnsi="Arial" w:cs="Arial"/>
              </w:rPr>
            </w:pPr>
            <w:r w:rsidRPr="00EE31F7">
              <w:rPr>
                <w:rFonts w:ascii="Arial" w:hAnsi="Arial" w:cs="Arial"/>
              </w:rPr>
              <w:t>0</w:t>
            </w:r>
          </w:p>
        </w:tc>
        <w:tc>
          <w:tcPr>
            <w:tcW w:w="1620" w:type="dxa"/>
            <w:vAlign w:val="center"/>
          </w:tcPr>
          <w:p w14:paraId="580D34B5" w14:textId="77777777" w:rsidR="00C662AE" w:rsidRPr="00EE31F7" w:rsidRDefault="00C662AE" w:rsidP="00583120">
            <w:pPr>
              <w:jc w:val="center"/>
              <w:textAlignment w:val="baseline"/>
              <w:rPr>
                <w:rFonts w:ascii="Arial" w:hAnsi="Arial" w:cs="Arial"/>
              </w:rPr>
            </w:pPr>
            <w:r w:rsidRPr="00EE31F7">
              <w:rPr>
                <w:rFonts w:ascii="Arial" w:hAnsi="Arial" w:cs="Arial"/>
              </w:rPr>
              <w:t>15</w:t>
            </w:r>
          </w:p>
        </w:tc>
        <w:tc>
          <w:tcPr>
            <w:tcW w:w="1625" w:type="dxa"/>
            <w:vAlign w:val="center"/>
          </w:tcPr>
          <w:p w14:paraId="0DABD9A0" w14:textId="77777777" w:rsidR="00C662AE" w:rsidRPr="00EE31F7" w:rsidRDefault="00C662AE" w:rsidP="00583120">
            <w:pPr>
              <w:jc w:val="center"/>
              <w:textAlignment w:val="baseline"/>
              <w:rPr>
                <w:rFonts w:ascii="Arial" w:hAnsi="Arial" w:cs="Arial"/>
              </w:rPr>
            </w:pPr>
            <w:r w:rsidRPr="00EE31F7">
              <w:rPr>
                <w:rFonts w:ascii="Arial" w:hAnsi="Arial" w:cs="Arial"/>
              </w:rPr>
              <w:t>6</w:t>
            </w:r>
          </w:p>
        </w:tc>
      </w:tr>
      <w:tr w:rsidR="00EE31F7" w:rsidRPr="00EE31F7" w14:paraId="0DBF3032" w14:textId="77777777" w:rsidTr="00825B81">
        <w:trPr>
          <w:trHeight w:val="1008"/>
        </w:trPr>
        <w:tc>
          <w:tcPr>
            <w:tcW w:w="2695" w:type="dxa"/>
            <w:vAlign w:val="center"/>
            <w:hideMark/>
          </w:tcPr>
          <w:p w14:paraId="6C32D503" w14:textId="77777777" w:rsidR="00C662AE" w:rsidRPr="00EE31F7" w:rsidRDefault="00C662AE" w:rsidP="00583120">
            <w:pPr>
              <w:jc w:val="center"/>
              <w:textAlignment w:val="baseline"/>
              <w:rPr>
                <w:rFonts w:ascii="Arial" w:hAnsi="Arial" w:cs="Arial"/>
              </w:rPr>
            </w:pPr>
            <w:r w:rsidRPr="00EE31F7">
              <w:rPr>
                <w:rFonts w:ascii="Arial" w:hAnsi="Arial" w:cs="Arial"/>
              </w:rPr>
              <w:t>Total FTEs, Calculated in Schedule A, Table B</w:t>
            </w:r>
          </w:p>
        </w:tc>
        <w:tc>
          <w:tcPr>
            <w:tcW w:w="1710" w:type="dxa"/>
            <w:vAlign w:val="center"/>
            <w:hideMark/>
          </w:tcPr>
          <w:p w14:paraId="7522B4D2" w14:textId="77777777" w:rsidR="00C662AE" w:rsidRPr="00EE31F7" w:rsidRDefault="00C662AE" w:rsidP="00583120">
            <w:pPr>
              <w:jc w:val="center"/>
              <w:textAlignment w:val="baseline"/>
              <w:rPr>
                <w:rFonts w:ascii="Arial" w:hAnsi="Arial" w:cs="Arial"/>
              </w:rPr>
            </w:pPr>
            <w:r w:rsidRPr="00EE31F7">
              <w:rPr>
                <w:rFonts w:ascii="Arial" w:hAnsi="Arial" w:cs="Arial"/>
              </w:rPr>
              <w:t>0.32 </w:t>
            </w:r>
          </w:p>
        </w:tc>
        <w:tc>
          <w:tcPr>
            <w:tcW w:w="1710" w:type="dxa"/>
            <w:vAlign w:val="center"/>
            <w:hideMark/>
          </w:tcPr>
          <w:p w14:paraId="4F7FC94F" w14:textId="77777777" w:rsidR="00C662AE" w:rsidRPr="00EE31F7" w:rsidRDefault="00C662AE" w:rsidP="00583120">
            <w:pPr>
              <w:jc w:val="center"/>
              <w:textAlignment w:val="baseline"/>
              <w:rPr>
                <w:rFonts w:ascii="Arial" w:hAnsi="Arial" w:cs="Arial"/>
              </w:rPr>
            </w:pPr>
            <w:r w:rsidRPr="00EE31F7">
              <w:rPr>
                <w:rFonts w:ascii="Arial" w:hAnsi="Arial" w:cs="Arial"/>
              </w:rPr>
              <w:t>0</w:t>
            </w:r>
          </w:p>
        </w:tc>
        <w:tc>
          <w:tcPr>
            <w:tcW w:w="1620" w:type="dxa"/>
            <w:vAlign w:val="center"/>
            <w:hideMark/>
          </w:tcPr>
          <w:p w14:paraId="745AC0A0" w14:textId="77777777" w:rsidR="00C662AE" w:rsidRPr="00EE31F7" w:rsidRDefault="00C662AE" w:rsidP="00583120">
            <w:pPr>
              <w:jc w:val="center"/>
              <w:textAlignment w:val="baseline"/>
              <w:rPr>
                <w:rFonts w:ascii="Arial" w:hAnsi="Arial" w:cs="Arial"/>
              </w:rPr>
            </w:pPr>
            <w:r w:rsidRPr="00EE31F7">
              <w:rPr>
                <w:rFonts w:ascii="Arial" w:hAnsi="Arial" w:cs="Arial"/>
              </w:rPr>
              <w:t>1.69</w:t>
            </w:r>
          </w:p>
        </w:tc>
        <w:tc>
          <w:tcPr>
            <w:tcW w:w="1625" w:type="dxa"/>
            <w:vAlign w:val="center"/>
          </w:tcPr>
          <w:p w14:paraId="589CADAA" w14:textId="77777777" w:rsidR="00C662AE" w:rsidRPr="00EE31F7" w:rsidRDefault="00C662AE" w:rsidP="00583120">
            <w:pPr>
              <w:jc w:val="center"/>
              <w:textAlignment w:val="baseline"/>
              <w:rPr>
                <w:rFonts w:ascii="Arial" w:hAnsi="Arial" w:cs="Arial"/>
              </w:rPr>
            </w:pPr>
            <w:r w:rsidRPr="00EE31F7">
              <w:rPr>
                <w:rFonts w:ascii="Arial" w:hAnsi="Arial" w:cs="Arial"/>
              </w:rPr>
              <w:t>0.63**</w:t>
            </w:r>
          </w:p>
        </w:tc>
      </w:tr>
      <w:tr w:rsidR="00EE31F7" w:rsidRPr="00EE31F7" w14:paraId="066821CF" w14:textId="77777777" w:rsidTr="00825B81">
        <w:trPr>
          <w:trHeight w:val="1382"/>
        </w:trPr>
        <w:tc>
          <w:tcPr>
            <w:tcW w:w="2695" w:type="dxa"/>
            <w:vAlign w:val="center"/>
            <w:hideMark/>
          </w:tcPr>
          <w:p w14:paraId="7AA8B50B" w14:textId="77777777" w:rsidR="00C662AE" w:rsidRPr="00EE31F7" w:rsidRDefault="00C662AE" w:rsidP="00583120">
            <w:pPr>
              <w:jc w:val="center"/>
              <w:textAlignment w:val="baseline"/>
              <w:rPr>
                <w:rFonts w:ascii="Arial" w:hAnsi="Arial" w:cs="Arial"/>
              </w:rPr>
            </w:pPr>
            <w:r w:rsidRPr="00EE31F7">
              <w:rPr>
                <w:rFonts w:ascii="Arial" w:hAnsi="Arial" w:cs="Arial"/>
              </w:rPr>
              <w:t>Telehealth Ratio Modifier, Calculated in Schedule A-1, Table C</w:t>
            </w:r>
          </w:p>
        </w:tc>
        <w:tc>
          <w:tcPr>
            <w:tcW w:w="1710" w:type="dxa"/>
            <w:vAlign w:val="center"/>
            <w:hideMark/>
          </w:tcPr>
          <w:p w14:paraId="353660C1" w14:textId="77777777" w:rsidR="00C662AE" w:rsidRPr="00EE31F7" w:rsidRDefault="00C662AE" w:rsidP="00583120">
            <w:pPr>
              <w:jc w:val="center"/>
              <w:textAlignment w:val="baseline"/>
              <w:rPr>
                <w:rFonts w:ascii="Arial" w:hAnsi="Arial" w:cs="Arial"/>
              </w:rPr>
            </w:pPr>
            <w:r w:rsidRPr="00EE31F7">
              <w:rPr>
                <w:rFonts w:ascii="Arial" w:hAnsi="Arial" w:cs="Arial"/>
              </w:rPr>
              <w:t>0.016</w:t>
            </w:r>
          </w:p>
        </w:tc>
        <w:tc>
          <w:tcPr>
            <w:tcW w:w="1710" w:type="dxa"/>
            <w:vAlign w:val="center"/>
            <w:hideMark/>
          </w:tcPr>
          <w:p w14:paraId="022AAC66" w14:textId="77777777" w:rsidR="00C662AE" w:rsidRPr="00EE31F7" w:rsidRDefault="00C662AE" w:rsidP="00583120">
            <w:pPr>
              <w:jc w:val="center"/>
              <w:textAlignment w:val="baseline"/>
              <w:rPr>
                <w:rFonts w:ascii="Arial" w:hAnsi="Arial" w:cs="Arial"/>
              </w:rPr>
            </w:pPr>
            <w:r w:rsidRPr="00EE31F7">
              <w:rPr>
                <w:rFonts w:ascii="Arial" w:hAnsi="Arial" w:cs="Arial"/>
              </w:rPr>
              <w:t>0</w:t>
            </w:r>
          </w:p>
        </w:tc>
        <w:tc>
          <w:tcPr>
            <w:tcW w:w="1620" w:type="dxa"/>
            <w:vAlign w:val="center"/>
            <w:hideMark/>
          </w:tcPr>
          <w:p w14:paraId="3A248831" w14:textId="77777777" w:rsidR="00C662AE" w:rsidRPr="00EE31F7" w:rsidRDefault="00C662AE" w:rsidP="00583120">
            <w:pPr>
              <w:jc w:val="center"/>
              <w:textAlignment w:val="baseline"/>
              <w:rPr>
                <w:rFonts w:ascii="Arial" w:hAnsi="Arial" w:cs="Arial"/>
              </w:rPr>
            </w:pPr>
            <w:r w:rsidRPr="00EE31F7">
              <w:rPr>
                <w:rFonts w:ascii="Arial" w:hAnsi="Arial" w:cs="Arial"/>
              </w:rPr>
              <w:t>0.085</w:t>
            </w:r>
          </w:p>
        </w:tc>
        <w:tc>
          <w:tcPr>
            <w:tcW w:w="1625" w:type="dxa"/>
            <w:vAlign w:val="center"/>
          </w:tcPr>
          <w:p w14:paraId="2689900E" w14:textId="77777777" w:rsidR="00C662AE" w:rsidRPr="00EE31F7" w:rsidRDefault="00C662AE" w:rsidP="00583120">
            <w:pPr>
              <w:jc w:val="center"/>
              <w:textAlignment w:val="baseline"/>
              <w:rPr>
                <w:rFonts w:ascii="Arial" w:hAnsi="Arial" w:cs="Arial"/>
              </w:rPr>
            </w:pPr>
            <w:r w:rsidRPr="00EE31F7">
              <w:rPr>
                <w:rFonts w:ascii="Arial" w:hAnsi="Arial" w:cs="Arial"/>
              </w:rPr>
              <w:t>NA</w:t>
            </w:r>
          </w:p>
        </w:tc>
      </w:tr>
      <w:tr w:rsidR="00EE31F7" w:rsidRPr="00EE31F7" w14:paraId="236CE914" w14:textId="77777777" w:rsidTr="00825B81">
        <w:trPr>
          <w:trHeight w:val="1382"/>
        </w:trPr>
        <w:tc>
          <w:tcPr>
            <w:tcW w:w="2695" w:type="dxa"/>
            <w:vAlign w:val="center"/>
            <w:hideMark/>
          </w:tcPr>
          <w:p w14:paraId="63E5C8EE" w14:textId="77777777" w:rsidR="00C662AE" w:rsidRPr="00EE31F7" w:rsidRDefault="00C662AE" w:rsidP="00583120">
            <w:pPr>
              <w:jc w:val="center"/>
              <w:textAlignment w:val="baseline"/>
              <w:rPr>
                <w:rFonts w:ascii="Arial" w:hAnsi="Arial" w:cs="Arial"/>
              </w:rPr>
            </w:pPr>
            <w:r w:rsidRPr="00EE31F7">
              <w:rPr>
                <w:rFonts w:ascii="Arial" w:hAnsi="Arial" w:cs="Arial"/>
              </w:rPr>
              <w:t>Total FTEs with EP adjustment, Calculated in Schedule A-2, Table E</w:t>
            </w:r>
          </w:p>
        </w:tc>
        <w:tc>
          <w:tcPr>
            <w:tcW w:w="1710" w:type="dxa"/>
            <w:vAlign w:val="center"/>
          </w:tcPr>
          <w:p w14:paraId="015A3E49" w14:textId="77777777" w:rsidR="00C662AE" w:rsidRPr="00EE31F7" w:rsidRDefault="00C662AE" w:rsidP="00583120">
            <w:pPr>
              <w:jc w:val="center"/>
              <w:textAlignment w:val="baseline"/>
              <w:rPr>
                <w:rFonts w:ascii="Arial" w:hAnsi="Arial" w:cs="Arial"/>
              </w:rPr>
            </w:pPr>
            <w:r w:rsidRPr="00EE31F7">
              <w:rPr>
                <w:rFonts w:ascii="Arial" w:hAnsi="Arial" w:cs="Arial"/>
              </w:rPr>
              <w:t>NA</w:t>
            </w:r>
          </w:p>
        </w:tc>
        <w:tc>
          <w:tcPr>
            <w:tcW w:w="1710" w:type="dxa"/>
            <w:vAlign w:val="center"/>
            <w:hideMark/>
          </w:tcPr>
          <w:p w14:paraId="7E14389A" w14:textId="77777777" w:rsidR="00C662AE" w:rsidRPr="00EE31F7" w:rsidRDefault="00C662AE" w:rsidP="00583120">
            <w:pPr>
              <w:jc w:val="center"/>
              <w:textAlignment w:val="baseline"/>
              <w:rPr>
                <w:rFonts w:ascii="Arial" w:hAnsi="Arial" w:cs="Arial"/>
              </w:rPr>
            </w:pPr>
            <w:r w:rsidRPr="00EE31F7">
              <w:rPr>
                <w:rFonts w:ascii="Arial" w:hAnsi="Arial" w:cs="Arial"/>
              </w:rPr>
              <w:t>0</w:t>
            </w:r>
          </w:p>
        </w:tc>
        <w:tc>
          <w:tcPr>
            <w:tcW w:w="1620" w:type="dxa"/>
            <w:vAlign w:val="center"/>
            <w:hideMark/>
          </w:tcPr>
          <w:p w14:paraId="68CC7417" w14:textId="77777777" w:rsidR="00C662AE" w:rsidRPr="00EE31F7" w:rsidRDefault="00C662AE" w:rsidP="00583120">
            <w:pPr>
              <w:jc w:val="center"/>
              <w:textAlignment w:val="baseline"/>
              <w:rPr>
                <w:rFonts w:ascii="Arial" w:hAnsi="Arial" w:cs="Arial"/>
              </w:rPr>
            </w:pPr>
            <w:r w:rsidRPr="00EE31F7">
              <w:rPr>
                <w:rFonts w:ascii="Arial" w:hAnsi="Arial" w:cs="Arial"/>
              </w:rPr>
              <w:t>2.41</w:t>
            </w:r>
          </w:p>
        </w:tc>
        <w:tc>
          <w:tcPr>
            <w:tcW w:w="1625" w:type="dxa"/>
            <w:vAlign w:val="center"/>
          </w:tcPr>
          <w:p w14:paraId="068E7D63" w14:textId="77777777" w:rsidR="00C662AE" w:rsidRPr="00EE31F7" w:rsidRDefault="00C662AE" w:rsidP="00583120">
            <w:pPr>
              <w:jc w:val="center"/>
              <w:textAlignment w:val="baseline"/>
              <w:rPr>
                <w:rFonts w:ascii="Arial" w:hAnsi="Arial" w:cs="Arial"/>
              </w:rPr>
            </w:pPr>
            <w:r w:rsidRPr="00EE31F7">
              <w:rPr>
                <w:rFonts w:ascii="Arial" w:hAnsi="Arial" w:cs="Arial"/>
              </w:rPr>
              <w:t>NA</w:t>
            </w:r>
          </w:p>
        </w:tc>
      </w:tr>
      <w:tr w:rsidR="00EE31F7" w:rsidRPr="00EE31F7" w14:paraId="0E05B1FA" w14:textId="77777777" w:rsidTr="00825B81">
        <w:trPr>
          <w:trHeight w:val="1008"/>
        </w:trPr>
        <w:tc>
          <w:tcPr>
            <w:tcW w:w="2695" w:type="dxa"/>
            <w:vAlign w:val="center"/>
          </w:tcPr>
          <w:p w14:paraId="24365AE4" w14:textId="77777777" w:rsidR="00C662AE" w:rsidRPr="00EE31F7" w:rsidRDefault="00C662AE" w:rsidP="00583120">
            <w:pPr>
              <w:jc w:val="center"/>
              <w:textAlignment w:val="baseline"/>
              <w:rPr>
                <w:rFonts w:ascii="Arial" w:hAnsi="Arial" w:cs="Arial"/>
              </w:rPr>
            </w:pPr>
            <w:r w:rsidRPr="00EE31F7">
              <w:rPr>
                <w:rFonts w:ascii="Arial" w:hAnsi="Arial" w:cs="Arial"/>
              </w:rPr>
              <w:t>High-Enrollment Multiplier</w:t>
            </w:r>
          </w:p>
        </w:tc>
        <w:tc>
          <w:tcPr>
            <w:tcW w:w="1710" w:type="dxa"/>
            <w:vAlign w:val="center"/>
          </w:tcPr>
          <w:p w14:paraId="5449A043" w14:textId="77777777" w:rsidR="00C662AE" w:rsidRPr="00EE31F7" w:rsidRDefault="00C662AE" w:rsidP="00583120">
            <w:pPr>
              <w:jc w:val="center"/>
              <w:textAlignment w:val="baseline"/>
              <w:rPr>
                <w:rFonts w:ascii="Arial" w:hAnsi="Arial" w:cs="Arial"/>
              </w:rPr>
            </w:pPr>
            <w:r w:rsidRPr="00EE31F7">
              <w:rPr>
                <w:rFonts w:ascii="Arial" w:hAnsi="Arial" w:cs="Arial"/>
              </w:rPr>
              <w:t>No adjustment</w:t>
            </w:r>
          </w:p>
        </w:tc>
        <w:tc>
          <w:tcPr>
            <w:tcW w:w="1710" w:type="dxa"/>
            <w:vAlign w:val="center"/>
          </w:tcPr>
          <w:p w14:paraId="27961677" w14:textId="77777777" w:rsidR="00C662AE" w:rsidRPr="00EE31F7" w:rsidRDefault="00C662AE" w:rsidP="00583120">
            <w:pPr>
              <w:jc w:val="center"/>
              <w:textAlignment w:val="baseline"/>
              <w:rPr>
                <w:rFonts w:ascii="Arial" w:hAnsi="Arial" w:cs="Arial"/>
              </w:rPr>
            </w:pPr>
            <w:r w:rsidRPr="00EE31F7">
              <w:rPr>
                <w:rFonts w:ascii="Arial" w:hAnsi="Arial" w:cs="Arial"/>
              </w:rPr>
              <w:t>No adjustment</w:t>
            </w:r>
          </w:p>
        </w:tc>
        <w:tc>
          <w:tcPr>
            <w:tcW w:w="1620" w:type="dxa"/>
            <w:vAlign w:val="center"/>
          </w:tcPr>
          <w:p w14:paraId="43E88AD4" w14:textId="77777777" w:rsidR="00C662AE" w:rsidRPr="00EE31F7" w:rsidRDefault="00C662AE" w:rsidP="00583120">
            <w:pPr>
              <w:jc w:val="center"/>
              <w:textAlignment w:val="baseline"/>
              <w:rPr>
                <w:rFonts w:ascii="Arial" w:hAnsi="Arial" w:cs="Arial"/>
              </w:rPr>
            </w:pPr>
            <w:r w:rsidRPr="00EE31F7">
              <w:rPr>
                <w:rFonts w:ascii="Arial" w:hAnsi="Arial" w:cs="Arial"/>
              </w:rPr>
              <w:t>1.5</w:t>
            </w:r>
          </w:p>
        </w:tc>
        <w:tc>
          <w:tcPr>
            <w:tcW w:w="1625" w:type="dxa"/>
            <w:vAlign w:val="center"/>
          </w:tcPr>
          <w:p w14:paraId="4B22B850" w14:textId="77777777" w:rsidR="00C662AE" w:rsidRPr="00EE31F7" w:rsidRDefault="00C662AE" w:rsidP="00583120">
            <w:pPr>
              <w:jc w:val="center"/>
              <w:textAlignment w:val="baseline"/>
              <w:rPr>
                <w:rFonts w:ascii="Arial" w:hAnsi="Arial" w:cs="Arial"/>
              </w:rPr>
            </w:pPr>
            <w:r w:rsidRPr="00EE31F7">
              <w:rPr>
                <w:rFonts w:ascii="Arial" w:hAnsi="Arial" w:cs="Arial"/>
              </w:rPr>
              <w:t>NA</w:t>
            </w:r>
          </w:p>
        </w:tc>
      </w:tr>
      <w:tr w:rsidR="00EE31F7" w:rsidRPr="00EE31F7" w14:paraId="50D29323" w14:textId="77777777" w:rsidTr="00825B81">
        <w:trPr>
          <w:trHeight w:val="1382"/>
        </w:trPr>
        <w:tc>
          <w:tcPr>
            <w:tcW w:w="2695" w:type="dxa"/>
            <w:vAlign w:val="center"/>
            <w:hideMark/>
          </w:tcPr>
          <w:p w14:paraId="0B89804A" w14:textId="77777777" w:rsidR="00C662AE" w:rsidRPr="00EE31F7" w:rsidRDefault="00C662AE" w:rsidP="00583120">
            <w:pPr>
              <w:jc w:val="center"/>
              <w:textAlignment w:val="baseline"/>
              <w:rPr>
                <w:rFonts w:ascii="Arial" w:hAnsi="Arial" w:cs="Arial"/>
              </w:rPr>
            </w:pPr>
            <w:r w:rsidRPr="00EE31F7">
              <w:rPr>
                <w:rFonts w:ascii="Arial" w:hAnsi="Arial" w:cs="Arial"/>
              </w:rPr>
              <w:t>High-Enrollment Adjusted FTEs, Calculated in Schedule A-3, Table G</w:t>
            </w:r>
          </w:p>
        </w:tc>
        <w:tc>
          <w:tcPr>
            <w:tcW w:w="1710" w:type="dxa"/>
            <w:vAlign w:val="center"/>
            <w:hideMark/>
          </w:tcPr>
          <w:p w14:paraId="350B60C3" w14:textId="77777777" w:rsidR="00C662AE" w:rsidRPr="00EE31F7" w:rsidRDefault="00C662AE" w:rsidP="00583120">
            <w:pPr>
              <w:jc w:val="center"/>
              <w:textAlignment w:val="baseline"/>
              <w:rPr>
                <w:rFonts w:ascii="Arial" w:hAnsi="Arial" w:cs="Arial"/>
              </w:rPr>
            </w:pPr>
            <w:r w:rsidRPr="00EE31F7">
              <w:rPr>
                <w:rFonts w:ascii="Arial" w:hAnsi="Arial" w:cs="Arial"/>
              </w:rPr>
              <w:t>No adjustment</w:t>
            </w:r>
          </w:p>
        </w:tc>
        <w:tc>
          <w:tcPr>
            <w:tcW w:w="1710" w:type="dxa"/>
            <w:vAlign w:val="center"/>
            <w:hideMark/>
          </w:tcPr>
          <w:p w14:paraId="108BF66E" w14:textId="77777777" w:rsidR="00C662AE" w:rsidRPr="00EE31F7" w:rsidRDefault="00C662AE" w:rsidP="00583120">
            <w:pPr>
              <w:jc w:val="center"/>
              <w:textAlignment w:val="baseline"/>
              <w:rPr>
                <w:rFonts w:ascii="Arial" w:hAnsi="Arial" w:cs="Arial"/>
              </w:rPr>
            </w:pPr>
            <w:r w:rsidRPr="00EE31F7">
              <w:rPr>
                <w:rFonts w:ascii="Arial" w:hAnsi="Arial" w:cs="Arial"/>
              </w:rPr>
              <w:t>No adjustment</w:t>
            </w:r>
          </w:p>
        </w:tc>
        <w:tc>
          <w:tcPr>
            <w:tcW w:w="1620" w:type="dxa"/>
            <w:vAlign w:val="center"/>
          </w:tcPr>
          <w:p w14:paraId="6479886A" w14:textId="77777777" w:rsidR="00C662AE" w:rsidRPr="00EE31F7" w:rsidRDefault="00C662AE" w:rsidP="00583120">
            <w:pPr>
              <w:jc w:val="center"/>
              <w:textAlignment w:val="baseline"/>
              <w:rPr>
                <w:rFonts w:ascii="Arial" w:hAnsi="Arial" w:cs="Arial"/>
              </w:rPr>
            </w:pPr>
            <w:r w:rsidRPr="00EE31F7">
              <w:rPr>
                <w:rFonts w:ascii="Arial" w:hAnsi="Arial" w:cs="Arial"/>
              </w:rPr>
              <w:t>3.62</w:t>
            </w:r>
          </w:p>
        </w:tc>
        <w:tc>
          <w:tcPr>
            <w:tcW w:w="1625" w:type="dxa"/>
            <w:vAlign w:val="center"/>
          </w:tcPr>
          <w:p w14:paraId="25733C07" w14:textId="77777777" w:rsidR="00C662AE" w:rsidRPr="00EE31F7" w:rsidRDefault="00C662AE" w:rsidP="00583120">
            <w:pPr>
              <w:jc w:val="center"/>
              <w:textAlignment w:val="baseline"/>
              <w:rPr>
                <w:rFonts w:ascii="Arial" w:hAnsi="Arial" w:cs="Arial"/>
              </w:rPr>
            </w:pPr>
            <w:r w:rsidRPr="00EE31F7">
              <w:rPr>
                <w:rFonts w:ascii="Arial" w:hAnsi="Arial" w:cs="Arial"/>
              </w:rPr>
              <w:t>NA</w:t>
            </w:r>
          </w:p>
        </w:tc>
      </w:tr>
      <w:tr w:rsidR="00EE31F7" w:rsidRPr="00EE31F7" w14:paraId="67B5DCDE" w14:textId="77777777" w:rsidTr="00825B81">
        <w:trPr>
          <w:trHeight w:val="1385"/>
        </w:trPr>
        <w:tc>
          <w:tcPr>
            <w:tcW w:w="2695" w:type="dxa"/>
            <w:vAlign w:val="center"/>
          </w:tcPr>
          <w:p w14:paraId="71184219" w14:textId="7DB0277C" w:rsidR="00755F3B" w:rsidRPr="00EE31F7" w:rsidRDefault="00755F3B" w:rsidP="00583120">
            <w:pPr>
              <w:jc w:val="center"/>
              <w:textAlignment w:val="baseline"/>
              <w:rPr>
                <w:rFonts w:ascii="Arial" w:hAnsi="Arial" w:cs="Arial"/>
                <w:u w:val="single"/>
              </w:rPr>
            </w:pPr>
            <w:r w:rsidRPr="00EE31F7">
              <w:rPr>
                <w:rFonts w:ascii="Arial" w:hAnsi="Arial" w:cs="Arial"/>
                <w:u w:val="single"/>
              </w:rPr>
              <w:t>High-Enrollment Adjusted Telehealth Ratio Modifier, Calculated in Table G</w:t>
            </w:r>
          </w:p>
        </w:tc>
        <w:tc>
          <w:tcPr>
            <w:tcW w:w="1710" w:type="dxa"/>
            <w:vAlign w:val="center"/>
          </w:tcPr>
          <w:p w14:paraId="4AACA414" w14:textId="69E7C4BE" w:rsidR="00755F3B" w:rsidRPr="00EE31F7" w:rsidRDefault="00755F3B" w:rsidP="00583120">
            <w:pPr>
              <w:jc w:val="center"/>
              <w:textAlignment w:val="baseline"/>
              <w:rPr>
                <w:rFonts w:ascii="Arial" w:hAnsi="Arial" w:cs="Arial"/>
                <w:u w:val="single"/>
              </w:rPr>
            </w:pPr>
            <w:r w:rsidRPr="00EE31F7">
              <w:rPr>
                <w:rFonts w:ascii="Arial" w:hAnsi="Arial" w:cs="Arial"/>
                <w:u w:val="single"/>
              </w:rPr>
              <w:t>No adjustment</w:t>
            </w:r>
          </w:p>
        </w:tc>
        <w:tc>
          <w:tcPr>
            <w:tcW w:w="1710" w:type="dxa"/>
            <w:vAlign w:val="center"/>
          </w:tcPr>
          <w:p w14:paraId="5C1F7BCA" w14:textId="7B73A13C" w:rsidR="00755F3B" w:rsidRPr="00EE31F7" w:rsidRDefault="00755F3B" w:rsidP="00583120">
            <w:pPr>
              <w:jc w:val="center"/>
              <w:textAlignment w:val="baseline"/>
              <w:rPr>
                <w:rFonts w:ascii="Arial" w:hAnsi="Arial" w:cs="Arial"/>
                <w:u w:val="single"/>
              </w:rPr>
            </w:pPr>
            <w:r w:rsidRPr="00EE31F7">
              <w:rPr>
                <w:rFonts w:ascii="Arial" w:hAnsi="Arial" w:cs="Arial"/>
                <w:u w:val="single"/>
              </w:rPr>
              <w:t>No adjustment</w:t>
            </w:r>
          </w:p>
        </w:tc>
        <w:tc>
          <w:tcPr>
            <w:tcW w:w="1620" w:type="dxa"/>
            <w:vAlign w:val="center"/>
          </w:tcPr>
          <w:p w14:paraId="3EDCDD22" w14:textId="1DFD7070" w:rsidR="00755F3B" w:rsidRPr="00EE31F7" w:rsidRDefault="00755F3B" w:rsidP="00583120">
            <w:pPr>
              <w:jc w:val="center"/>
              <w:textAlignment w:val="baseline"/>
              <w:rPr>
                <w:rFonts w:ascii="Arial" w:hAnsi="Arial" w:cs="Arial"/>
                <w:u w:val="single"/>
              </w:rPr>
            </w:pPr>
            <w:r w:rsidRPr="00EE31F7">
              <w:rPr>
                <w:rFonts w:ascii="Arial" w:hAnsi="Arial" w:cs="Arial"/>
                <w:u w:val="single"/>
              </w:rPr>
              <w:t>0.1275</w:t>
            </w:r>
          </w:p>
        </w:tc>
        <w:tc>
          <w:tcPr>
            <w:tcW w:w="1625" w:type="dxa"/>
            <w:vAlign w:val="center"/>
          </w:tcPr>
          <w:p w14:paraId="3A1C38A5" w14:textId="5AE2F906" w:rsidR="00755F3B" w:rsidRPr="00EE31F7" w:rsidRDefault="00755F3B" w:rsidP="00583120">
            <w:pPr>
              <w:jc w:val="center"/>
              <w:textAlignment w:val="baseline"/>
              <w:rPr>
                <w:rFonts w:ascii="Arial" w:hAnsi="Arial" w:cs="Arial"/>
                <w:u w:val="single"/>
              </w:rPr>
            </w:pPr>
            <w:r w:rsidRPr="00EE31F7">
              <w:rPr>
                <w:rFonts w:ascii="Arial" w:hAnsi="Arial" w:cs="Arial"/>
                <w:u w:val="single"/>
              </w:rPr>
              <w:t>NA</w:t>
            </w:r>
          </w:p>
        </w:tc>
      </w:tr>
      <w:tr w:rsidR="00EE31F7" w:rsidRPr="00EE31F7" w14:paraId="352169DB" w14:textId="77777777" w:rsidTr="00825B81">
        <w:trPr>
          <w:trHeight w:val="1008"/>
        </w:trPr>
        <w:tc>
          <w:tcPr>
            <w:tcW w:w="2695" w:type="dxa"/>
            <w:vAlign w:val="center"/>
          </w:tcPr>
          <w:p w14:paraId="1EBC6083" w14:textId="77777777" w:rsidR="00C662AE" w:rsidRPr="00EE31F7" w:rsidRDefault="00C662AE" w:rsidP="00583120">
            <w:pPr>
              <w:jc w:val="center"/>
              <w:textAlignment w:val="baseline"/>
              <w:rPr>
                <w:rFonts w:ascii="Arial" w:hAnsi="Arial" w:cs="Arial"/>
              </w:rPr>
            </w:pPr>
            <w:r w:rsidRPr="00EE31F7">
              <w:rPr>
                <w:rFonts w:ascii="Arial" w:hAnsi="Arial" w:cs="Arial"/>
              </w:rPr>
              <w:lastRenderedPageBreak/>
              <w:t>Total County FTE</w:t>
            </w:r>
          </w:p>
        </w:tc>
        <w:tc>
          <w:tcPr>
            <w:tcW w:w="1710" w:type="dxa"/>
            <w:vAlign w:val="center"/>
          </w:tcPr>
          <w:p w14:paraId="3BCF525D" w14:textId="77777777" w:rsidR="00C662AE" w:rsidRPr="00EE31F7" w:rsidRDefault="00C662AE" w:rsidP="00583120">
            <w:pPr>
              <w:jc w:val="center"/>
              <w:textAlignment w:val="baseline"/>
              <w:rPr>
                <w:rFonts w:ascii="Arial" w:hAnsi="Arial" w:cs="Arial"/>
              </w:rPr>
            </w:pPr>
            <w:r w:rsidRPr="00EE31F7">
              <w:rPr>
                <w:rFonts w:ascii="Arial" w:hAnsi="Arial" w:cs="Arial"/>
              </w:rPr>
              <w:t>(0.32 +0.016) =0.336</w:t>
            </w:r>
          </w:p>
        </w:tc>
        <w:tc>
          <w:tcPr>
            <w:tcW w:w="1710" w:type="dxa"/>
            <w:vAlign w:val="center"/>
          </w:tcPr>
          <w:p w14:paraId="1B978C49" w14:textId="77777777" w:rsidR="00C662AE" w:rsidRPr="00EE31F7" w:rsidRDefault="00C662AE" w:rsidP="00583120">
            <w:pPr>
              <w:jc w:val="center"/>
              <w:textAlignment w:val="baseline"/>
              <w:rPr>
                <w:rFonts w:ascii="Arial" w:hAnsi="Arial" w:cs="Arial"/>
              </w:rPr>
            </w:pPr>
            <w:r w:rsidRPr="00EE31F7">
              <w:rPr>
                <w:rFonts w:ascii="Arial" w:hAnsi="Arial" w:cs="Arial"/>
              </w:rPr>
              <w:t>0</w:t>
            </w:r>
          </w:p>
        </w:tc>
        <w:tc>
          <w:tcPr>
            <w:tcW w:w="1620" w:type="dxa"/>
            <w:vAlign w:val="center"/>
          </w:tcPr>
          <w:p w14:paraId="315D4202" w14:textId="61BA0B36" w:rsidR="00F0628F" w:rsidRPr="00EE31F7" w:rsidRDefault="00F0628F" w:rsidP="00583120">
            <w:pPr>
              <w:jc w:val="center"/>
              <w:textAlignment w:val="baseline"/>
              <w:rPr>
                <w:rFonts w:ascii="Arial" w:hAnsi="Arial" w:cs="Arial"/>
                <w:strike/>
              </w:rPr>
            </w:pPr>
            <w:r w:rsidRPr="00EE31F7">
              <w:rPr>
                <w:rFonts w:ascii="Arial" w:hAnsi="Arial" w:cs="Arial"/>
                <w:strike/>
              </w:rPr>
              <w:t>(3.62 +0.085) = 3.705</w:t>
            </w:r>
          </w:p>
          <w:p w14:paraId="1FED7F79" w14:textId="16D62BDC" w:rsidR="00C662AE" w:rsidRPr="00EE31F7" w:rsidRDefault="00C662AE" w:rsidP="00583120">
            <w:pPr>
              <w:jc w:val="center"/>
              <w:textAlignment w:val="baseline"/>
              <w:rPr>
                <w:rFonts w:ascii="Arial" w:hAnsi="Arial" w:cs="Arial"/>
                <w:u w:val="single"/>
              </w:rPr>
            </w:pPr>
            <w:r w:rsidRPr="00EE31F7">
              <w:rPr>
                <w:rFonts w:ascii="Arial" w:hAnsi="Arial" w:cs="Arial"/>
                <w:u w:val="single"/>
              </w:rPr>
              <w:t>(3.62 +0.</w:t>
            </w:r>
            <w:r w:rsidR="009041AB" w:rsidRPr="00EE31F7">
              <w:rPr>
                <w:rFonts w:ascii="Arial" w:hAnsi="Arial" w:cs="Arial"/>
                <w:u w:val="single"/>
              </w:rPr>
              <w:t>1275</w:t>
            </w:r>
            <w:r w:rsidRPr="00EE31F7">
              <w:rPr>
                <w:rFonts w:ascii="Arial" w:hAnsi="Arial" w:cs="Arial"/>
                <w:u w:val="single"/>
              </w:rPr>
              <w:t>) = 3.</w:t>
            </w:r>
            <w:r w:rsidR="00766481" w:rsidRPr="00EE31F7">
              <w:rPr>
                <w:rFonts w:ascii="Arial" w:hAnsi="Arial" w:cs="Arial"/>
                <w:u w:val="single"/>
              </w:rPr>
              <w:t>7475</w:t>
            </w:r>
          </w:p>
        </w:tc>
        <w:tc>
          <w:tcPr>
            <w:tcW w:w="1625" w:type="dxa"/>
            <w:vAlign w:val="center"/>
          </w:tcPr>
          <w:p w14:paraId="75400C36" w14:textId="77777777" w:rsidR="00C662AE" w:rsidRPr="00EE31F7" w:rsidRDefault="00C662AE" w:rsidP="00583120">
            <w:pPr>
              <w:jc w:val="center"/>
              <w:textAlignment w:val="baseline"/>
              <w:rPr>
                <w:rFonts w:ascii="Arial" w:hAnsi="Arial" w:cs="Arial"/>
              </w:rPr>
            </w:pPr>
            <w:r w:rsidRPr="00EE31F7">
              <w:rPr>
                <w:rFonts w:ascii="Arial" w:hAnsi="Arial" w:cs="Arial"/>
              </w:rPr>
              <w:t>0.63</w:t>
            </w:r>
          </w:p>
        </w:tc>
      </w:tr>
      <w:tr w:rsidR="00EE31F7" w:rsidRPr="00EE31F7" w14:paraId="764DB783" w14:textId="77777777" w:rsidTr="00825B81">
        <w:trPr>
          <w:trHeight w:val="1008"/>
        </w:trPr>
        <w:tc>
          <w:tcPr>
            <w:tcW w:w="2695" w:type="dxa"/>
            <w:vAlign w:val="center"/>
            <w:hideMark/>
          </w:tcPr>
          <w:p w14:paraId="5DE6C24F" w14:textId="77777777" w:rsidR="00C662AE" w:rsidRPr="00EE31F7" w:rsidRDefault="00C662AE" w:rsidP="00583120">
            <w:pPr>
              <w:jc w:val="center"/>
              <w:textAlignment w:val="baseline"/>
              <w:rPr>
                <w:rFonts w:ascii="Arial" w:hAnsi="Arial" w:cs="Arial"/>
              </w:rPr>
            </w:pPr>
            <w:r w:rsidRPr="00EE31F7">
              <w:rPr>
                <w:rFonts w:ascii="Arial" w:hAnsi="Arial" w:cs="Arial"/>
              </w:rPr>
              <w:t>Combined network ratio (1: ____)</w:t>
            </w:r>
          </w:p>
        </w:tc>
        <w:tc>
          <w:tcPr>
            <w:tcW w:w="6665" w:type="dxa"/>
            <w:gridSpan w:val="4"/>
            <w:vAlign w:val="center"/>
            <w:hideMark/>
          </w:tcPr>
          <w:p w14:paraId="78B94309" w14:textId="6465BADF" w:rsidR="00C662AE" w:rsidRPr="00EE31F7" w:rsidRDefault="00C662AE" w:rsidP="00583120">
            <w:pPr>
              <w:jc w:val="center"/>
              <w:textAlignment w:val="baseline"/>
              <w:rPr>
                <w:rFonts w:ascii="Arial" w:hAnsi="Arial" w:cs="Arial"/>
              </w:rPr>
            </w:pPr>
            <w:r w:rsidRPr="00EE31F7">
              <w:rPr>
                <w:rFonts w:ascii="Arial" w:hAnsi="Arial" w:cs="Arial"/>
              </w:rPr>
              <w:t>(400 + 80 + 3000)</w:t>
            </w:r>
            <w:r w:rsidR="00904A01" w:rsidRPr="00EE31F7">
              <w:rPr>
                <w:rFonts w:ascii="Arial" w:hAnsi="Arial" w:cs="Arial"/>
              </w:rPr>
              <w:t xml:space="preserve"> </w:t>
            </w:r>
            <w:r w:rsidR="00411107" w:rsidRPr="00EE31F7">
              <w:rPr>
                <w:rFonts w:ascii="Arial" w:hAnsi="Arial" w:cs="Arial"/>
              </w:rPr>
              <w:t xml:space="preserve">÷ </w:t>
            </w:r>
            <w:r w:rsidR="00D171F2" w:rsidRPr="00EE31F7">
              <w:rPr>
                <w:rFonts w:ascii="Arial" w:hAnsi="Arial" w:cs="Arial"/>
                <w:strike/>
              </w:rPr>
              <w:t>(0.336 + 3.705 + 0.63) = 729 </w:t>
            </w:r>
            <w:r w:rsidRPr="00EE31F7">
              <w:rPr>
                <w:rFonts w:ascii="Arial" w:hAnsi="Arial" w:cs="Arial"/>
                <w:u w:val="single"/>
              </w:rPr>
              <w:t>(0.336 + 3.</w:t>
            </w:r>
            <w:r w:rsidR="00414279" w:rsidRPr="00EE31F7">
              <w:rPr>
                <w:rFonts w:ascii="Arial" w:hAnsi="Arial" w:cs="Arial"/>
                <w:u w:val="single"/>
              </w:rPr>
              <w:t>7475</w:t>
            </w:r>
            <w:r w:rsidRPr="00EE31F7">
              <w:rPr>
                <w:rFonts w:ascii="Arial" w:hAnsi="Arial" w:cs="Arial"/>
                <w:u w:val="single"/>
              </w:rPr>
              <w:t xml:space="preserve"> + 0.63) = </w:t>
            </w:r>
            <w:r w:rsidR="007D7519" w:rsidRPr="00EE31F7">
              <w:rPr>
                <w:rFonts w:ascii="Arial" w:hAnsi="Arial" w:cs="Arial"/>
                <w:u w:val="single"/>
              </w:rPr>
              <w:t>73</w:t>
            </w:r>
            <w:r w:rsidR="00C6460A" w:rsidRPr="00EE31F7">
              <w:rPr>
                <w:rFonts w:ascii="Arial" w:hAnsi="Arial" w:cs="Arial"/>
                <w:u w:val="single"/>
              </w:rPr>
              <w:t>9</w:t>
            </w:r>
          </w:p>
        </w:tc>
      </w:tr>
    </w:tbl>
    <w:p w14:paraId="1E86178D" w14:textId="77777777" w:rsidR="00C662AE" w:rsidRPr="00EE31F7" w:rsidRDefault="00C662AE" w:rsidP="00583120">
      <w:pPr>
        <w:spacing w:before="240" w:after="120"/>
        <w:rPr>
          <w:rFonts w:ascii="Arial" w:hAnsi="Arial" w:cs="Arial"/>
        </w:rPr>
      </w:pPr>
      <w:r w:rsidRPr="00EE31F7">
        <w:rPr>
          <w:rFonts w:ascii="Arial" w:hAnsi="Arial" w:cs="Arial"/>
        </w:rPr>
        <w:t>*Values in this example are derived from Schedule A, Table B, Schedule A-1, Table C, Schedule A-2, Table E, and Schedule A-3, Table G.</w:t>
      </w:r>
    </w:p>
    <w:p w14:paraId="44D287D2" w14:textId="3EF0E15A" w:rsidR="00916F01" w:rsidRPr="00EE31F7" w:rsidRDefault="00C662AE" w:rsidP="00583120">
      <w:pPr>
        <w:spacing w:after="240"/>
        <w:rPr>
          <w:rFonts w:ascii="Arial" w:hAnsi="Arial" w:cs="Arial"/>
        </w:rPr>
      </w:pPr>
      <w:r w:rsidRPr="00EE31F7">
        <w:rPr>
          <w:rFonts w:ascii="Arial" w:hAnsi="Arial" w:cs="Arial"/>
        </w:rPr>
        <w:t xml:space="preserve">** The summed FTE </w:t>
      </w:r>
      <w:r w:rsidR="003656CC" w:rsidRPr="00EE31F7">
        <w:rPr>
          <w:rFonts w:ascii="Arial" w:hAnsi="Arial" w:cs="Arial"/>
        </w:rPr>
        <w:t>C</w:t>
      </w:r>
      <w:r w:rsidRPr="00EE31F7">
        <w:rPr>
          <w:rFonts w:ascii="Arial" w:hAnsi="Arial" w:cs="Arial"/>
        </w:rPr>
        <w:t xml:space="preserve">ounseling MHP value for Lake, a Micro County, is derived from 3 full-time, single-county </w:t>
      </w:r>
      <w:r w:rsidR="0015711C" w:rsidRPr="00EE31F7">
        <w:rPr>
          <w:rFonts w:ascii="Arial" w:hAnsi="Arial" w:cs="Arial"/>
        </w:rPr>
        <w:t xml:space="preserve">Counseling </w:t>
      </w:r>
      <w:r w:rsidRPr="00EE31F7">
        <w:rPr>
          <w:rFonts w:ascii="Arial" w:hAnsi="Arial" w:cs="Arial"/>
        </w:rPr>
        <w:t xml:space="preserve">MHPs (each with an FTE value of 0.14) and 3 full-time multi-county </w:t>
      </w:r>
      <w:r w:rsidR="0015711C" w:rsidRPr="00EE31F7">
        <w:rPr>
          <w:rFonts w:ascii="Arial" w:hAnsi="Arial" w:cs="Arial"/>
        </w:rPr>
        <w:t xml:space="preserve">Counseling </w:t>
      </w:r>
      <w:r w:rsidRPr="00EE31F7">
        <w:rPr>
          <w:rFonts w:ascii="Arial" w:hAnsi="Arial" w:cs="Arial"/>
        </w:rPr>
        <w:t>MHPs (each with a value of 0.07).</w:t>
      </w:r>
    </w:p>
    <w:p w14:paraId="77948C5B" w14:textId="5BD559F6" w:rsidR="00916F01" w:rsidRPr="00EE31F7" w:rsidRDefault="00916F01" w:rsidP="00583120">
      <w:pPr>
        <w:spacing w:after="240"/>
        <w:textAlignment w:val="baseline"/>
        <w:rPr>
          <w:rFonts w:ascii="Arial" w:hAnsi="Arial" w:cs="Arial"/>
          <w:b/>
          <w:bCs/>
          <w:u w:val="single"/>
        </w:rPr>
      </w:pPr>
      <w:r w:rsidRPr="00EE31F7">
        <w:rPr>
          <w:rFonts w:ascii="Arial" w:hAnsi="Arial" w:cs="Arial"/>
          <w:b/>
          <w:bCs/>
          <w:u w:val="single"/>
        </w:rPr>
        <w:t>Outcome of Example 6:</w:t>
      </w:r>
    </w:p>
    <w:p w14:paraId="3F963DEB" w14:textId="3A2A7FFD" w:rsidR="00916F01" w:rsidRPr="00EE31F7" w:rsidRDefault="00916F01" w:rsidP="00583120">
      <w:pPr>
        <w:textAlignment w:val="baseline"/>
        <w:rPr>
          <w:rFonts w:ascii="Arial" w:hAnsi="Arial" w:cs="Arial"/>
        </w:rPr>
      </w:pPr>
      <w:r w:rsidRPr="00EE31F7">
        <w:rPr>
          <w:rFonts w:ascii="Arial" w:hAnsi="Arial" w:cs="Arial"/>
          <w:u w:val="single"/>
        </w:rPr>
        <w:t>Summing all enrollment along with the FTEs from all the counties, the network ratio is 1 FTE provider per 739 enrollees. This meets the FTE ratio standard.</w:t>
      </w:r>
    </w:p>
    <w:sectPr w:rsidR="00916F01" w:rsidRPr="00EE31F7" w:rsidSect="009B0620">
      <w:headerReference w:type="even" r:id="rId12"/>
      <w:headerReference w:type="default" r:id="rId13"/>
      <w:footerReference w:type="even" r:id="rId14"/>
      <w:footerReference w:type="default" r:id="rId15"/>
      <w:headerReference w:type="first" r:id="rId16"/>
      <w:footerReference w:type="first" r:id="rId17"/>
      <w:pgSz w:w="12240" w:h="15840"/>
      <w:pgMar w:top="1170" w:right="1440" w:bottom="126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D85D" w14:textId="77777777" w:rsidR="00BA4DF0" w:rsidRDefault="00BA4DF0">
      <w:r>
        <w:separator/>
      </w:r>
    </w:p>
  </w:endnote>
  <w:endnote w:type="continuationSeparator" w:id="0">
    <w:p w14:paraId="49CF5947" w14:textId="77777777" w:rsidR="00BA4DF0" w:rsidRDefault="00BA4DF0">
      <w:r>
        <w:continuationSeparator/>
      </w:r>
    </w:p>
  </w:endnote>
  <w:endnote w:type="continuationNotice" w:id="1">
    <w:p w14:paraId="5F4D1C0E" w14:textId="77777777" w:rsidR="00BA4DF0" w:rsidRDefault="00BA4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1AC9" w14:textId="77777777" w:rsidR="00C22CA7" w:rsidRDefault="00C22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924018"/>
      <w:docPartObj>
        <w:docPartGallery w:val="Page Numbers (Bottom of Page)"/>
        <w:docPartUnique/>
      </w:docPartObj>
    </w:sdtPr>
    <w:sdtEndPr>
      <w:rPr>
        <w:rFonts w:ascii="Arial" w:hAnsi="Arial" w:cs="Arial"/>
        <w:noProof/>
      </w:rPr>
    </w:sdtEndPr>
    <w:sdtContent>
      <w:p w14:paraId="78873FE7" w14:textId="77777777" w:rsidR="00C662AE" w:rsidRPr="00114AA7" w:rsidRDefault="00C662AE" w:rsidP="00052130">
        <w:pPr>
          <w:pStyle w:val="Footer"/>
          <w:spacing w:before="120"/>
          <w:jc w:val="center"/>
          <w:rPr>
            <w:rFonts w:ascii="Arial" w:hAnsi="Arial" w:cs="Arial"/>
          </w:rPr>
        </w:pPr>
        <w:r w:rsidRPr="00114AA7">
          <w:rPr>
            <w:rFonts w:ascii="Arial" w:hAnsi="Arial" w:cs="Arial"/>
          </w:rPr>
          <w:fldChar w:fldCharType="begin"/>
        </w:r>
        <w:r w:rsidRPr="00114AA7">
          <w:rPr>
            <w:rFonts w:ascii="Arial" w:hAnsi="Arial" w:cs="Arial"/>
          </w:rPr>
          <w:instrText xml:space="preserve"> PAGE   \* MERGEFORMAT </w:instrText>
        </w:r>
        <w:r w:rsidRPr="00114AA7">
          <w:rPr>
            <w:rFonts w:ascii="Arial" w:hAnsi="Arial" w:cs="Arial"/>
          </w:rPr>
          <w:fldChar w:fldCharType="separate"/>
        </w:r>
        <w:r w:rsidRPr="00114AA7">
          <w:rPr>
            <w:rFonts w:ascii="Arial" w:hAnsi="Arial" w:cs="Arial"/>
          </w:rPr>
          <w:t>2</w:t>
        </w:r>
        <w:r w:rsidRPr="00114AA7">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88C0" w14:textId="77777777" w:rsidR="00C22CA7" w:rsidRDefault="00C22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31A1" w14:textId="77777777" w:rsidR="00BA4DF0" w:rsidRDefault="00BA4DF0">
      <w:r>
        <w:separator/>
      </w:r>
    </w:p>
  </w:footnote>
  <w:footnote w:type="continuationSeparator" w:id="0">
    <w:p w14:paraId="63249D67" w14:textId="77777777" w:rsidR="00BA4DF0" w:rsidRDefault="00BA4DF0">
      <w:r>
        <w:continuationSeparator/>
      </w:r>
    </w:p>
  </w:footnote>
  <w:footnote w:type="continuationNotice" w:id="1">
    <w:p w14:paraId="2C98E018" w14:textId="77777777" w:rsidR="00BA4DF0" w:rsidRDefault="00BA4D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4E73" w14:textId="005C542E" w:rsidR="002F79A7" w:rsidRDefault="002F7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D2D7" w14:textId="71161391" w:rsidR="00E841AA" w:rsidRDefault="00C662AE" w:rsidP="00AE1282">
    <w:pPr>
      <w:pStyle w:val="Header"/>
      <w:jc w:val="center"/>
      <w:rPr>
        <w:rFonts w:ascii="Arial" w:hAnsi="Arial" w:cs="Arial"/>
        <w:color w:val="1C4F9D"/>
        <w:spacing w:val="-2"/>
      </w:rPr>
    </w:pPr>
    <w:r w:rsidRPr="008769A7">
      <w:rPr>
        <w:rFonts w:ascii="Arial" w:hAnsi="Arial" w:cs="Arial"/>
        <w:color w:val="1C4F9D"/>
        <w:spacing w:val="-2"/>
      </w:rPr>
      <w:t xml:space="preserve">Counseling </w:t>
    </w:r>
    <w:r w:rsidR="00AE1282" w:rsidRPr="008769A7">
      <w:rPr>
        <w:rFonts w:ascii="Arial" w:hAnsi="Arial" w:cs="Arial"/>
        <w:color w:val="1C4F9D"/>
        <w:spacing w:val="-2"/>
      </w:rPr>
      <w:t>Non</w:t>
    </w:r>
    <w:r w:rsidR="00AE1282" w:rsidRPr="004A25BB">
      <w:rPr>
        <w:rFonts w:ascii="Arial" w:hAnsi="Arial" w:cs="Arial"/>
        <w:color w:val="1C4F9D"/>
        <w:spacing w:val="-2"/>
      </w:rPr>
      <w:t>-Physician Mental Health Professional</w:t>
    </w:r>
    <w:r w:rsidR="00AE1282" w:rsidRPr="004A25BB">
      <w:rPr>
        <w:rFonts w:ascii="Arial" w:hAnsi="Arial" w:cs="Arial"/>
        <w:color w:val="0070C0"/>
      </w:rPr>
      <w:t xml:space="preserve"> </w:t>
    </w:r>
    <w:r w:rsidR="00607D0A" w:rsidRPr="00607D0A">
      <w:rPr>
        <w:rFonts w:ascii="Arial" w:hAnsi="Arial" w:cs="Arial"/>
        <w:color w:val="1C4F9D"/>
        <w:spacing w:val="-2"/>
      </w:rPr>
      <w:t xml:space="preserve">Ratio </w:t>
    </w:r>
    <w:r w:rsidRPr="00F54AF4">
      <w:rPr>
        <w:rFonts w:ascii="Arial" w:hAnsi="Arial" w:cs="Arial"/>
        <w:color w:val="1C4F9D"/>
        <w:spacing w:val="-2"/>
      </w:rPr>
      <w:t>Standards and Methodology</w:t>
    </w:r>
  </w:p>
  <w:p w14:paraId="7C03DF42" w14:textId="6CF3EE09" w:rsidR="00C662AE" w:rsidRPr="00F54AF4" w:rsidRDefault="00C662AE" w:rsidP="00AE1282">
    <w:pPr>
      <w:pStyle w:val="Header"/>
      <w:jc w:val="center"/>
      <w:rPr>
        <w:rFonts w:ascii="Arial" w:hAnsi="Arial" w:cs="Arial"/>
        <w:color w:val="1C4F9D"/>
        <w:spacing w:val="-2"/>
      </w:rPr>
    </w:pPr>
    <w:r>
      <w:rPr>
        <w:rFonts w:ascii="Arial" w:hAnsi="Arial" w:cs="Arial"/>
        <w:color w:val="1C4F9D"/>
        <w:spacing w:val="-2"/>
      </w:rPr>
      <w:t>Schedules A through A-6</w:t>
    </w:r>
  </w:p>
  <w:p w14:paraId="39F4DA8B" w14:textId="26FBA2D1" w:rsidR="00A100D3" w:rsidRPr="00FC6900" w:rsidRDefault="00A422CE" w:rsidP="00FC6900">
    <w:pPr>
      <w:pStyle w:val="Header"/>
      <w:spacing w:after="240"/>
      <w:jc w:val="center"/>
      <w:rPr>
        <w:rFonts w:ascii="Arial" w:hAnsi="Arial" w:cs="Arial"/>
        <w:strike/>
        <w:color w:val="1C4F9D"/>
        <w:spacing w:val="-2"/>
        <w:kern w:val="2"/>
        <w14:ligatures w14:val="standardContextual"/>
      </w:rPr>
    </w:pPr>
    <w:r w:rsidRPr="00133CE4">
      <w:rPr>
        <w:rFonts w:ascii="Arial" w:hAnsi="Arial" w:cs="Arial"/>
        <w:color w:val="1C4F9D"/>
        <w:spacing w:val="-2"/>
        <w:kern w:val="2"/>
        <w14:ligatures w14:val="standardContextual"/>
      </w:rPr>
      <w:t>Issue Date:</w:t>
    </w:r>
    <w:r w:rsidRPr="00D55455">
      <w:rPr>
        <w:rFonts w:ascii="Arial" w:hAnsi="Arial" w:cs="Arial"/>
        <w:color w:val="1C4F9D"/>
        <w:spacing w:val="-2"/>
        <w:kern w:val="2"/>
        <w14:ligatures w14:val="standardContextual"/>
      </w:rPr>
      <w:t xml:space="preserve"> </w:t>
    </w:r>
    <w:r w:rsidRPr="00507EC5">
      <w:rPr>
        <w:rFonts w:ascii="Arial" w:hAnsi="Arial" w:cs="Arial"/>
        <w:strike/>
        <w:color w:val="1C4F9D"/>
        <w:spacing w:val="-2"/>
        <w:kern w:val="2"/>
        <w14:ligatures w14:val="standardContextual"/>
      </w:rPr>
      <w:t>December 12, 2024</w:t>
    </w:r>
    <w:r w:rsidR="00133CE4">
      <w:rPr>
        <w:rFonts w:ascii="Arial" w:hAnsi="Arial" w:cs="Arial"/>
        <w:strike/>
        <w:color w:val="1C4F9D"/>
        <w:spacing w:val="-2"/>
        <w:kern w:val="2"/>
        <w14:ligatures w14:val="standardContextual"/>
      </w:rPr>
      <w:t xml:space="preserve"> </w:t>
    </w:r>
    <w:r w:rsidR="00133CE4" w:rsidRPr="00133CE4">
      <w:rPr>
        <w:rFonts w:ascii="Arial" w:hAnsi="Arial" w:cs="Arial"/>
        <w:color w:val="1C4F9D"/>
        <w:spacing w:val="-2"/>
        <w:kern w:val="2"/>
        <w:u w:val="single"/>
        <w14:ligatures w14:val="standardContextual"/>
      </w:rPr>
      <w:t>December 1</w:t>
    </w:r>
    <w:r w:rsidR="002D4188">
      <w:rPr>
        <w:rFonts w:ascii="Arial" w:hAnsi="Arial" w:cs="Arial"/>
        <w:color w:val="1C4F9D"/>
        <w:spacing w:val="-2"/>
        <w:kern w:val="2"/>
        <w:u w:val="single"/>
        <w14:ligatures w14:val="standardContextual"/>
      </w:rPr>
      <w:t>2</w:t>
    </w:r>
    <w:r w:rsidR="00133CE4" w:rsidRPr="00133CE4">
      <w:rPr>
        <w:rFonts w:ascii="Arial" w:hAnsi="Arial" w:cs="Arial"/>
        <w:color w:val="1C4F9D"/>
        <w:spacing w:val="-2"/>
        <w:kern w:val="2"/>
        <w:u w:val="single"/>
        <w14:ligatures w14:val="standardContextual"/>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510A" w14:textId="2646ACB5" w:rsidR="002F79A7" w:rsidRDefault="002F7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144"/>
    <w:multiLevelType w:val="multilevel"/>
    <w:tmpl w:val="ED28AE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B24FF"/>
    <w:multiLevelType w:val="multilevel"/>
    <w:tmpl w:val="0FEAC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F1FA8"/>
    <w:multiLevelType w:val="multilevel"/>
    <w:tmpl w:val="572E0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659D7"/>
    <w:multiLevelType w:val="hybridMultilevel"/>
    <w:tmpl w:val="BD586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B297D"/>
    <w:multiLevelType w:val="hybridMultilevel"/>
    <w:tmpl w:val="5CCC56D6"/>
    <w:lvl w:ilvl="0" w:tplc="A91E642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2259A"/>
    <w:multiLevelType w:val="multilevel"/>
    <w:tmpl w:val="8A321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342668"/>
    <w:multiLevelType w:val="multilevel"/>
    <w:tmpl w:val="434AF6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3D0E02"/>
    <w:multiLevelType w:val="hybridMultilevel"/>
    <w:tmpl w:val="9C6C6E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82566"/>
    <w:multiLevelType w:val="hybridMultilevel"/>
    <w:tmpl w:val="CF98A0BE"/>
    <w:lvl w:ilvl="0" w:tplc="8D124F48">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07432"/>
    <w:multiLevelType w:val="hybridMultilevel"/>
    <w:tmpl w:val="24680A78"/>
    <w:lvl w:ilvl="0" w:tplc="4E184B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F6660"/>
    <w:multiLevelType w:val="hybridMultilevel"/>
    <w:tmpl w:val="D368FD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4E021A"/>
    <w:multiLevelType w:val="multilevel"/>
    <w:tmpl w:val="77F436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9A3C1D"/>
    <w:multiLevelType w:val="hybridMultilevel"/>
    <w:tmpl w:val="2AD6B4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B8F2C62"/>
    <w:multiLevelType w:val="multilevel"/>
    <w:tmpl w:val="EC3EA2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71AC30E5"/>
    <w:multiLevelType w:val="multilevel"/>
    <w:tmpl w:val="E3D059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159999">
    <w:abstractNumId w:val="5"/>
  </w:num>
  <w:num w:numId="2" w16cid:durableId="1442912756">
    <w:abstractNumId w:val="6"/>
  </w:num>
  <w:num w:numId="3" w16cid:durableId="1657952776">
    <w:abstractNumId w:val="13"/>
  </w:num>
  <w:num w:numId="4" w16cid:durableId="453672470">
    <w:abstractNumId w:val="1"/>
  </w:num>
  <w:num w:numId="5" w16cid:durableId="1556433326">
    <w:abstractNumId w:val="2"/>
  </w:num>
  <w:num w:numId="6" w16cid:durableId="1683969910">
    <w:abstractNumId w:val="14"/>
  </w:num>
  <w:num w:numId="7" w16cid:durableId="542905819">
    <w:abstractNumId w:val="0"/>
  </w:num>
  <w:num w:numId="8" w16cid:durableId="379594606">
    <w:abstractNumId w:val="11"/>
  </w:num>
  <w:num w:numId="9" w16cid:durableId="1576889690">
    <w:abstractNumId w:val="7"/>
  </w:num>
  <w:num w:numId="10" w16cid:durableId="1459451031">
    <w:abstractNumId w:val="12"/>
  </w:num>
  <w:num w:numId="11" w16cid:durableId="112477735">
    <w:abstractNumId w:val="4"/>
  </w:num>
  <w:num w:numId="12" w16cid:durableId="439839679">
    <w:abstractNumId w:val="9"/>
  </w:num>
  <w:num w:numId="13" w16cid:durableId="1242913488">
    <w:abstractNumId w:val="10"/>
  </w:num>
  <w:num w:numId="14" w16cid:durableId="611403736">
    <w:abstractNumId w:val="3"/>
  </w:num>
  <w:num w:numId="15" w16cid:durableId="1595089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ocumentProtection w:edit="readOnly" w:formatting="1" w:enforcement="1" w:cryptProviderType="rsaAES" w:cryptAlgorithmClass="hash" w:cryptAlgorithmType="typeAny" w:cryptAlgorithmSid="14" w:cryptSpinCount="100000" w:hash="7sfoP3fdFPTWFP4H0duOfDNSvozG9OF00rATW3MJJcCaJGJFOfXqlaKFcMV8jveqm9aFNIjeUgfQ2+m/x1osqg==" w:salt="Ev8LFF3vU02Ks2SVrGL2B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AE"/>
    <w:rsid w:val="0000017A"/>
    <w:rsid w:val="00000E26"/>
    <w:rsid w:val="000010EA"/>
    <w:rsid w:val="0000269E"/>
    <w:rsid w:val="000035A7"/>
    <w:rsid w:val="0000367B"/>
    <w:rsid w:val="00004D3D"/>
    <w:rsid w:val="000069BD"/>
    <w:rsid w:val="000077B7"/>
    <w:rsid w:val="000108AC"/>
    <w:rsid w:val="00011BD2"/>
    <w:rsid w:val="00011CD9"/>
    <w:rsid w:val="00012D10"/>
    <w:rsid w:val="0001717A"/>
    <w:rsid w:val="00017260"/>
    <w:rsid w:val="00017E01"/>
    <w:rsid w:val="00020297"/>
    <w:rsid w:val="000231EA"/>
    <w:rsid w:val="00025FB5"/>
    <w:rsid w:val="00033386"/>
    <w:rsid w:val="00036423"/>
    <w:rsid w:val="0003684B"/>
    <w:rsid w:val="000424EB"/>
    <w:rsid w:val="00042B86"/>
    <w:rsid w:val="00044D67"/>
    <w:rsid w:val="00044E01"/>
    <w:rsid w:val="00046933"/>
    <w:rsid w:val="00046A52"/>
    <w:rsid w:val="00050F8A"/>
    <w:rsid w:val="0005206E"/>
    <w:rsid w:val="00052130"/>
    <w:rsid w:val="0005225B"/>
    <w:rsid w:val="00052C3C"/>
    <w:rsid w:val="000548B4"/>
    <w:rsid w:val="00055480"/>
    <w:rsid w:val="00056546"/>
    <w:rsid w:val="00060F81"/>
    <w:rsid w:val="000614ED"/>
    <w:rsid w:val="00061A42"/>
    <w:rsid w:val="00062423"/>
    <w:rsid w:val="000638E5"/>
    <w:rsid w:val="00063D0B"/>
    <w:rsid w:val="000730DA"/>
    <w:rsid w:val="00073421"/>
    <w:rsid w:val="00074FA0"/>
    <w:rsid w:val="000751EF"/>
    <w:rsid w:val="00075AE4"/>
    <w:rsid w:val="00076DE3"/>
    <w:rsid w:val="00077203"/>
    <w:rsid w:val="00081B7A"/>
    <w:rsid w:val="0008293B"/>
    <w:rsid w:val="000832C5"/>
    <w:rsid w:val="000832F9"/>
    <w:rsid w:val="00084D0A"/>
    <w:rsid w:val="00085FE4"/>
    <w:rsid w:val="00087CB1"/>
    <w:rsid w:val="000912D5"/>
    <w:rsid w:val="00094640"/>
    <w:rsid w:val="00094A5F"/>
    <w:rsid w:val="00096F20"/>
    <w:rsid w:val="000A0729"/>
    <w:rsid w:val="000A09D6"/>
    <w:rsid w:val="000A10F0"/>
    <w:rsid w:val="000A1E90"/>
    <w:rsid w:val="000A256F"/>
    <w:rsid w:val="000A37AF"/>
    <w:rsid w:val="000A472C"/>
    <w:rsid w:val="000A4ECD"/>
    <w:rsid w:val="000A6AB4"/>
    <w:rsid w:val="000B2575"/>
    <w:rsid w:val="000B5D4B"/>
    <w:rsid w:val="000B651C"/>
    <w:rsid w:val="000B6BDB"/>
    <w:rsid w:val="000B722A"/>
    <w:rsid w:val="000C17EF"/>
    <w:rsid w:val="000C1CA5"/>
    <w:rsid w:val="000C2499"/>
    <w:rsid w:val="000C295C"/>
    <w:rsid w:val="000C3F5D"/>
    <w:rsid w:val="000C4277"/>
    <w:rsid w:val="000C5374"/>
    <w:rsid w:val="000C6508"/>
    <w:rsid w:val="000C6A2B"/>
    <w:rsid w:val="000C6E58"/>
    <w:rsid w:val="000D1095"/>
    <w:rsid w:val="000D1D2E"/>
    <w:rsid w:val="000D380B"/>
    <w:rsid w:val="000D416E"/>
    <w:rsid w:val="000D429A"/>
    <w:rsid w:val="000D4DC0"/>
    <w:rsid w:val="000D4FC7"/>
    <w:rsid w:val="000D52D0"/>
    <w:rsid w:val="000D5BAE"/>
    <w:rsid w:val="000D5DD7"/>
    <w:rsid w:val="000D7D31"/>
    <w:rsid w:val="000E1149"/>
    <w:rsid w:val="000E253B"/>
    <w:rsid w:val="000E379A"/>
    <w:rsid w:val="000E47C2"/>
    <w:rsid w:val="000E5758"/>
    <w:rsid w:val="000E577A"/>
    <w:rsid w:val="000E6173"/>
    <w:rsid w:val="000E6F3F"/>
    <w:rsid w:val="000E709D"/>
    <w:rsid w:val="000E78DB"/>
    <w:rsid w:val="000F1FE3"/>
    <w:rsid w:val="000F24D0"/>
    <w:rsid w:val="000F277E"/>
    <w:rsid w:val="000F43AF"/>
    <w:rsid w:val="000F493A"/>
    <w:rsid w:val="000F5CAA"/>
    <w:rsid w:val="000F5E9E"/>
    <w:rsid w:val="000F645A"/>
    <w:rsid w:val="000F64C8"/>
    <w:rsid w:val="00100154"/>
    <w:rsid w:val="0010103C"/>
    <w:rsid w:val="00101517"/>
    <w:rsid w:val="001015A6"/>
    <w:rsid w:val="001020E6"/>
    <w:rsid w:val="00102828"/>
    <w:rsid w:val="0010428F"/>
    <w:rsid w:val="00104B88"/>
    <w:rsid w:val="00105561"/>
    <w:rsid w:val="00106D09"/>
    <w:rsid w:val="00106DA8"/>
    <w:rsid w:val="00110EB1"/>
    <w:rsid w:val="00110FCB"/>
    <w:rsid w:val="00111038"/>
    <w:rsid w:val="001112F6"/>
    <w:rsid w:val="00113311"/>
    <w:rsid w:val="001138A7"/>
    <w:rsid w:val="0011469B"/>
    <w:rsid w:val="001162CA"/>
    <w:rsid w:val="00123F3E"/>
    <w:rsid w:val="00125332"/>
    <w:rsid w:val="00127426"/>
    <w:rsid w:val="001275B9"/>
    <w:rsid w:val="00130E6A"/>
    <w:rsid w:val="001321D1"/>
    <w:rsid w:val="00132243"/>
    <w:rsid w:val="0013251A"/>
    <w:rsid w:val="0013286F"/>
    <w:rsid w:val="00133CE4"/>
    <w:rsid w:val="001359C5"/>
    <w:rsid w:val="00141851"/>
    <w:rsid w:val="00141A91"/>
    <w:rsid w:val="00143B9B"/>
    <w:rsid w:val="0014401B"/>
    <w:rsid w:val="00145DCD"/>
    <w:rsid w:val="00150D0B"/>
    <w:rsid w:val="00151612"/>
    <w:rsid w:val="0015256E"/>
    <w:rsid w:val="0015711C"/>
    <w:rsid w:val="00164113"/>
    <w:rsid w:val="00171BD8"/>
    <w:rsid w:val="00172AF7"/>
    <w:rsid w:val="00172E4F"/>
    <w:rsid w:val="001759FE"/>
    <w:rsid w:val="0017603C"/>
    <w:rsid w:val="00176173"/>
    <w:rsid w:val="00176ADD"/>
    <w:rsid w:val="00177475"/>
    <w:rsid w:val="00180593"/>
    <w:rsid w:val="0018211A"/>
    <w:rsid w:val="00182904"/>
    <w:rsid w:val="00182AC2"/>
    <w:rsid w:val="001844E3"/>
    <w:rsid w:val="001849B7"/>
    <w:rsid w:val="00185494"/>
    <w:rsid w:val="00186193"/>
    <w:rsid w:val="00186FD7"/>
    <w:rsid w:val="00190A6F"/>
    <w:rsid w:val="00193BF9"/>
    <w:rsid w:val="00193EC8"/>
    <w:rsid w:val="00194399"/>
    <w:rsid w:val="001944A1"/>
    <w:rsid w:val="00195122"/>
    <w:rsid w:val="00195CBB"/>
    <w:rsid w:val="00196978"/>
    <w:rsid w:val="001A0C3E"/>
    <w:rsid w:val="001A27D7"/>
    <w:rsid w:val="001A2D03"/>
    <w:rsid w:val="001A4CA8"/>
    <w:rsid w:val="001A68C2"/>
    <w:rsid w:val="001B0503"/>
    <w:rsid w:val="001B11B2"/>
    <w:rsid w:val="001B13C6"/>
    <w:rsid w:val="001B1DD3"/>
    <w:rsid w:val="001B2281"/>
    <w:rsid w:val="001B3797"/>
    <w:rsid w:val="001B4412"/>
    <w:rsid w:val="001B5828"/>
    <w:rsid w:val="001B64A8"/>
    <w:rsid w:val="001B6C47"/>
    <w:rsid w:val="001B7545"/>
    <w:rsid w:val="001C02AC"/>
    <w:rsid w:val="001C1679"/>
    <w:rsid w:val="001C1B44"/>
    <w:rsid w:val="001C6100"/>
    <w:rsid w:val="001C7728"/>
    <w:rsid w:val="001D0145"/>
    <w:rsid w:val="001D13D0"/>
    <w:rsid w:val="001D1B54"/>
    <w:rsid w:val="001D25D8"/>
    <w:rsid w:val="001D3E9B"/>
    <w:rsid w:val="001D4B39"/>
    <w:rsid w:val="001D55A9"/>
    <w:rsid w:val="001E1CAA"/>
    <w:rsid w:val="001E2294"/>
    <w:rsid w:val="001E4B14"/>
    <w:rsid w:val="001E6D24"/>
    <w:rsid w:val="001E7344"/>
    <w:rsid w:val="001E7E42"/>
    <w:rsid w:val="001F08E2"/>
    <w:rsid w:val="001F1E41"/>
    <w:rsid w:val="001F27E2"/>
    <w:rsid w:val="001F3F65"/>
    <w:rsid w:val="001F52AD"/>
    <w:rsid w:val="001F5849"/>
    <w:rsid w:val="001F6CE6"/>
    <w:rsid w:val="001F6E0E"/>
    <w:rsid w:val="001F6E72"/>
    <w:rsid w:val="00200D32"/>
    <w:rsid w:val="002023A0"/>
    <w:rsid w:val="002029E9"/>
    <w:rsid w:val="0020393C"/>
    <w:rsid w:val="00205431"/>
    <w:rsid w:val="002100A4"/>
    <w:rsid w:val="00213DE6"/>
    <w:rsid w:val="00214D07"/>
    <w:rsid w:val="00215029"/>
    <w:rsid w:val="002173AA"/>
    <w:rsid w:val="00217747"/>
    <w:rsid w:val="00221A90"/>
    <w:rsid w:val="0022236A"/>
    <w:rsid w:val="0022274F"/>
    <w:rsid w:val="002254B8"/>
    <w:rsid w:val="00227220"/>
    <w:rsid w:val="00227C16"/>
    <w:rsid w:val="00234799"/>
    <w:rsid w:val="002356F6"/>
    <w:rsid w:val="002359BB"/>
    <w:rsid w:val="002400E1"/>
    <w:rsid w:val="00241D2D"/>
    <w:rsid w:val="00244CB8"/>
    <w:rsid w:val="00250D6D"/>
    <w:rsid w:val="00251145"/>
    <w:rsid w:val="00251872"/>
    <w:rsid w:val="00251A3C"/>
    <w:rsid w:val="0025208C"/>
    <w:rsid w:val="0025382E"/>
    <w:rsid w:val="00253F11"/>
    <w:rsid w:val="00254F6C"/>
    <w:rsid w:val="002550F4"/>
    <w:rsid w:val="00256C11"/>
    <w:rsid w:val="00260D3E"/>
    <w:rsid w:val="00261F90"/>
    <w:rsid w:val="00261FC4"/>
    <w:rsid w:val="002648A3"/>
    <w:rsid w:val="00267972"/>
    <w:rsid w:val="002705BC"/>
    <w:rsid w:val="002728B6"/>
    <w:rsid w:val="002741E6"/>
    <w:rsid w:val="002761C2"/>
    <w:rsid w:val="00277D55"/>
    <w:rsid w:val="002804DB"/>
    <w:rsid w:val="00280E1D"/>
    <w:rsid w:val="00280E99"/>
    <w:rsid w:val="002835FF"/>
    <w:rsid w:val="00284646"/>
    <w:rsid w:val="002859EF"/>
    <w:rsid w:val="00286488"/>
    <w:rsid w:val="00286B01"/>
    <w:rsid w:val="0029329D"/>
    <w:rsid w:val="00294990"/>
    <w:rsid w:val="002956ED"/>
    <w:rsid w:val="00295942"/>
    <w:rsid w:val="0029723E"/>
    <w:rsid w:val="002A016A"/>
    <w:rsid w:val="002A23E9"/>
    <w:rsid w:val="002A3493"/>
    <w:rsid w:val="002A5767"/>
    <w:rsid w:val="002A765A"/>
    <w:rsid w:val="002B2157"/>
    <w:rsid w:val="002B389C"/>
    <w:rsid w:val="002B7968"/>
    <w:rsid w:val="002C475E"/>
    <w:rsid w:val="002C553E"/>
    <w:rsid w:val="002C6791"/>
    <w:rsid w:val="002D0A32"/>
    <w:rsid w:val="002D156B"/>
    <w:rsid w:val="002D2C69"/>
    <w:rsid w:val="002D4188"/>
    <w:rsid w:val="002D4C31"/>
    <w:rsid w:val="002D5D35"/>
    <w:rsid w:val="002D640F"/>
    <w:rsid w:val="002D7A49"/>
    <w:rsid w:val="002D7FAF"/>
    <w:rsid w:val="002E0096"/>
    <w:rsid w:val="002E00CB"/>
    <w:rsid w:val="002E2648"/>
    <w:rsid w:val="002E689F"/>
    <w:rsid w:val="002E697C"/>
    <w:rsid w:val="002E6FAE"/>
    <w:rsid w:val="002F0DCC"/>
    <w:rsid w:val="002F6413"/>
    <w:rsid w:val="002F79A7"/>
    <w:rsid w:val="002F7E92"/>
    <w:rsid w:val="0030022B"/>
    <w:rsid w:val="00302527"/>
    <w:rsid w:val="003025D9"/>
    <w:rsid w:val="00303D0B"/>
    <w:rsid w:val="00303F79"/>
    <w:rsid w:val="003049CB"/>
    <w:rsid w:val="00304FE1"/>
    <w:rsid w:val="00304FE7"/>
    <w:rsid w:val="00310C50"/>
    <w:rsid w:val="003110B1"/>
    <w:rsid w:val="003160C6"/>
    <w:rsid w:val="003170DB"/>
    <w:rsid w:val="003174E1"/>
    <w:rsid w:val="003203C3"/>
    <w:rsid w:val="00325685"/>
    <w:rsid w:val="00325784"/>
    <w:rsid w:val="00333138"/>
    <w:rsid w:val="0033336C"/>
    <w:rsid w:val="0033446E"/>
    <w:rsid w:val="00335ADB"/>
    <w:rsid w:val="00335FD3"/>
    <w:rsid w:val="00336055"/>
    <w:rsid w:val="00336076"/>
    <w:rsid w:val="00336DEA"/>
    <w:rsid w:val="0033794E"/>
    <w:rsid w:val="00340C83"/>
    <w:rsid w:val="003445FD"/>
    <w:rsid w:val="0034649F"/>
    <w:rsid w:val="003506A6"/>
    <w:rsid w:val="0035257E"/>
    <w:rsid w:val="003531B9"/>
    <w:rsid w:val="00354931"/>
    <w:rsid w:val="003570D4"/>
    <w:rsid w:val="00360C1F"/>
    <w:rsid w:val="0036263F"/>
    <w:rsid w:val="00363441"/>
    <w:rsid w:val="003656CC"/>
    <w:rsid w:val="00365A31"/>
    <w:rsid w:val="0036734A"/>
    <w:rsid w:val="00367693"/>
    <w:rsid w:val="00367B15"/>
    <w:rsid w:val="003702C3"/>
    <w:rsid w:val="00370808"/>
    <w:rsid w:val="00371276"/>
    <w:rsid w:val="00371BA6"/>
    <w:rsid w:val="00372ECC"/>
    <w:rsid w:val="00374F74"/>
    <w:rsid w:val="00376A41"/>
    <w:rsid w:val="00377971"/>
    <w:rsid w:val="00382290"/>
    <w:rsid w:val="00384038"/>
    <w:rsid w:val="00385453"/>
    <w:rsid w:val="00385DFC"/>
    <w:rsid w:val="0038686B"/>
    <w:rsid w:val="00386D6B"/>
    <w:rsid w:val="003877A3"/>
    <w:rsid w:val="003900ED"/>
    <w:rsid w:val="003920BC"/>
    <w:rsid w:val="00392A75"/>
    <w:rsid w:val="0039321B"/>
    <w:rsid w:val="00394886"/>
    <w:rsid w:val="00396822"/>
    <w:rsid w:val="00396BD9"/>
    <w:rsid w:val="003A0204"/>
    <w:rsid w:val="003A26B0"/>
    <w:rsid w:val="003A3A0B"/>
    <w:rsid w:val="003A3CDA"/>
    <w:rsid w:val="003A3DC4"/>
    <w:rsid w:val="003A3E77"/>
    <w:rsid w:val="003A5B9D"/>
    <w:rsid w:val="003A6829"/>
    <w:rsid w:val="003B06C6"/>
    <w:rsid w:val="003B0E9A"/>
    <w:rsid w:val="003B22EC"/>
    <w:rsid w:val="003B3034"/>
    <w:rsid w:val="003B46E0"/>
    <w:rsid w:val="003B484A"/>
    <w:rsid w:val="003B62D9"/>
    <w:rsid w:val="003C1395"/>
    <w:rsid w:val="003C27F8"/>
    <w:rsid w:val="003C3BEF"/>
    <w:rsid w:val="003C77A6"/>
    <w:rsid w:val="003D0B55"/>
    <w:rsid w:val="003D0F19"/>
    <w:rsid w:val="003D1123"/>
    <w:rsid w:val="003D11DC"/>
    <w:rsid w:val="003D13EC"/>
    <w:rsid w:val="003D1C27"/>
    <w:rsid w:val="003E0123"/>
    <w:rsid w:val="003E1696"/>
    <w:rsid w:val="003E2AC7"/>
    <w:rsid w:val="003E6BBC"/>
    <w:rsid w:val="003E761D"/>
    <w:rsid w:val="003E76DC"/>
    <w:rsid w:val="003F0049"/>
    <w:rsid w:val="003F29E2"/>
    <w:rsid w:val="003F3485"/>
    <w:rsid w:val="003F3B42"/>
    <w:rsid w:val="003F5883"/>
    <w:rsid w:val="003F65A7"/>
    <w:rsid w:val="003F667C"/>
    <w:rsid w:val="003F71F5"/>
    <w:rsid w:val="00400E72"/>
    <w:rsid w:val="004075DC"/>
    <w:rsid w:val="00410D9D"/>
    <w:rsid w:val="00411107"/>
    <w:rsid w:val="0041122B"/>
    <w:rsid w:val="0041169F"/>
    <w:rsid w:val="00412C27"/>
    <w:rsid w:val="00413445"/>
    <w:rsid w:val="00413467"/>
    <w:rsid w:val="0041416D"/>
    <w:rsid w:val="00414279"/>
    <w:rsid w:val="00416C04"/>
    <w:rsid w:val="00416E68"/>
    <w:rsid w:val="00422910"/>
    <w:rsid w:val="00423273"/>
    <w:rsid w:val="00423528"/>
    <w:rsid w:val="004237CB"/>
    <w:rsid w:val="00425EFF"/>
    <w:rsid w:val="0042658B"/>
    <w:rsid w:val="00426AD5"/>
    <w:rsid w:val="00426F08"/>
    <w:rsid w:val="00430523"/>
    <w:rsid w:val="004322E4"/>
    <w:rsid w:val="004344AA"/>
    <w:rsid w:val="00434E24"/>
    <w:rsid w:val="00437CBD"/>
    <w:rsid w:val="00440593"/>
    <w:rsid w:val="0044066D"/>
    <w:rsid w:val="0044230A"/>
    <w:rsid w:val="0044296B"/>
    <w:rsid w:val="00442D5F"/>
    <w:rsid w:val="004441CD"/>
    <w:rsid w:val="004445E8"/>
    <w:rsid w:val="00444C44"/>
    <w:rsid w:val="00445A44"/>
    <w:rsid w:val="00446475"/>
    <w:rsid w:val="0044688B"/>
    <w:rsid w:val="00447332"/>
    <w:rsid w:val="004507CC"/>
    <w:rsid w:val="004508C1"/>
    <w:rsid w:val="004520EB"/>
    <w:rsid w:val="004544A8"/>
    <w:rsid w:val="0045472C"/>
    <w:rsid w:val="00455297"/>
    <w:rsid w:val="004577B9"/>
    <w:rsid w:val="00457E66"/>
    <w:rsid w:val="004611EE"/>
    <w:rsid w:val="0046677C"/>
    <w:rsid w:val="00466CF4"/>
    <w:rsid w:val="0047194B"/>
    <w:rsid w:val="00473EB7"/>
    <w:rsid w:val="00474100"/>
    <w:rsid w:val="00474C0D"/>
    <w:rsid w:val="0047712D"/>
    <w:rsid w:val="0047794C"/>
    <w:rsid w:val="00480852"/>
    <w:rsid w:val="00482525"/>
    <w:rsid w:val="00482D59"/>
    <w:rsid w:val="00483ABE"/>
    <w:rsid w:val="00484B27"/>
    <w:rsid w:val="00485C6C"/>
    <w:rsid w:val="0048697A"/>
    <w:rsid w:val="00490F7B"/>
    <w:rsid w:val="004911A8"/>
    <w:rsid w:val="00491A30"/>
    <w:rsid w:val="00494848"/>
    <w:rsid w:val="004952DE"/>
    <w:rsid w:val="00495703"/>
    <w:rsid w:val="00496755"/>
    <w:rsid w:val="004A25BB"/>
    <w:rsid w:val="004A2D51"/>
    <w:rsid w:val="004A2DC7"/>
    <w:rsid w:val="004A354D"/>
    <w:rsid w:val="004A3E94"/>
    <w:rsid w:val="004A4BFC"/>
    <w:rsid w:val="004A6EC9"/>
    <w:rsid w:val="004A7636"/>
    <w:rsid w:val="004B1226"/>
    <w:rsid w:val="004B60F6"/>
    <w:rsid w:val="004B7BDA"/>
    <w:rsid w:val="004C1A68"/>
    <w:rsid w:val="004C278D"/>
    <w:rsid w:val="004C31AF"/>
    <w:rsid w:val="004C4F37"/>
    <w:rsid w:val="004C5B6B"/>
    <w:rsid w:val="004D002C"/>
    <w:rsid w:val="004D18CE"/>
    <w:rsid w:val="004D1D92"/>
    <w:rsid w:val="004D4BAF"/>
    <w:rsid w:val="004D4DB7"/>
    <w:rsid w:val="004D4FAA"/>
    <w:rsid w:val="004D5D47"/>
    <w:rsid w:val="004D71E6"/>
    <w:rsid w:val="004D7A8F"/>
    <w:rsid w:val="004D7B42"/>
    <w:rsid w:val="004D7B6C"/>
    <w:rsid w:val="004E2342"/>
    <w:rsid w:val="004E2C4A"/>
    <w:rsid w:val="004E31D3"/>
    <w:rsid w:val="004E5ADF"/>
    <w:rsid w:val="004E654C"/>
    <w:rsid w:val="004F3737"/>
    <w:rsid w:val="004F3B7D"/>
    <w:rsid w:val="004F4866"/>
    <w:rsid w:val="004F5EE0"/>
    <w:rsid w:val="0050027B"/>
    <w:rsid w:val="00501848"/>
    <w:rsid w:val="00501D7C"/>
    <w:rsid w:val="00503580"/>
    <w:rsid w:val="00506ABC"/>
    <w:rsid w:val="005104B0"/>
    <w:rsid w:val="00511167"/>
    <w:rsid w:val="00514884"/>
    <w:rsid w:val="005148E2"/>
    <w:rsid w:val="00516175"/>
    <w:rsid w:val="005176E5"/>
    <w:rsid w:val="005205DC"/>
    <w:rsid w:val="005227A5"/>
    <w:rsid w:val="005227E1"/>
    <w:rsid w:val="00523E39"/>
    <w:rsid w:val="005249ED"/>
    <w:rsid w:val="0052794D"/>
    <w:rsid w:val="0053086B"/>
    <w:rsid w:val="00531B13"/>
    <w:rsid w:val="00531C92"/>
    <w:rsid w:val="005329B2"/>
    <w:rsid w:val="00532E7A"/>
    <w:rsid w:val="00533A27"/>
    <w:rsid w:val="0053549F"/>
    <w:rsid w:val="00536BE2"/>
    <w:rsid w:val="0053791C"/>
    <w:rsid w:val="00540D92"/>
    <w:rsid w:val="005427DB"/>
    <w:rsid w:val="005436B9"/>
    <w:rsid w:val="00547BE1"/>
    <w:rsid w:val="005538CA"/>
    <w:rsid w:val="005550EA"/>
    <w:rsid w:val="005562B6"/>
    <w:rsid w:val="00560D5D"/>
    <w:rsid w:val="00561EAD"/>
    <w:rsid w:val="00565CC4"/>
    <w:rsid w:val="005669C9"/>
    <w:rsid w:val="00566D8D"/>
    <w:rsid w:val="00566F5F"/>
    <w:rsid w:val="005711A6"/>
    <w:rsid w:val="005719E2"/>
    <w:rsid w:val="00571FD9"/>
    <w:rsid w:val="00572804"/>
    <w:rsid w:val="00572A85"/>
    <w:rsid w:val="005739BE"/>
    <w:rsid w:val="00573DB6"/>
    <w:rsid w:val="0057465B"/>
    <w:rsid w:val="005768DD"/>
    <w:rsid w:val="0057699B"/>
    <w:rsid w:val="00580058"/>
    <w:rsid w:val="005803B8"/>
    <w:rsid w:val="00583120"/>
    <w:rsid w:val="00585642"/>
    <w:rsid w:val="0058771E"/>
    <w:rsid w:val="0058796B"/>
    <w:rsid w:val="00590336"/>
    <w:rsid w:val="00590A22"/>
    <w:rsid w:val="00590ECB"/>
    <w:rsid w:val="0059315E"/>
    <w:rsid w:val="005A0BE6"/>
    <w:rsid w:val="005A10D5"/>
    <w:rsid w:val="005A1718"/>
    <w:rsid w:val="005A3CEE"/>
    <w:rsid w:val="005A61F0"/>
    <w:rsid w:val="005A74EB"/>
    <w:rsid w:val="005B14C6"/>
    <w:rsid w:val="005B2E04"/>
    <w:rsid w:val="005B3249"/>
    <w:rsid w:val="005B7DD9"/>
    <w:rsid w:val="005C0516"/>
    <w:rsid w:val="005C0B2F"/>
    <w:rsid w:val="005C2DFC"/>
    <w:rsid w:val="005C37E5"/>
    <w:rsid w:val="005C3BF0"/>
    <w:rsid w:val="005C4D70"/>
    <w:rsid w:val="005D0FC0"/>
    <w:rsid w:val="005D1F57"/>
    <w:rsid w:val="005D4BE5"/>
    <w:rsid w:val="005D5F86"/>
    <w:rsid w:val="005E28B2"/>
    <w:rsid w:val="005E3523"/>
    <w:rsid w:val="005E5D6A"/>
    <w:rsid w:val="005E6435"/>
    <w:rsid w:val="005E7D23"/>
    <w:rsid w:val="005F0A8E"/>
    <w:rsid w:val="005F5FAD"/>
    <w:rsid w:val="005F7C37"/>
    <w:rsid w:val="006001DD"/>
    <w:rsid w:val="0060029A"/>
    <w:rsid w:val="00602ECA"/>
    <w:rsid w:val="00607D0A"/>
    <w:rsid w:val="006119F9"/>
    <w:rsid w:val="00614BF5"/>
    <w:rsid w:val="00621DAE"/>
    <w:rsid w:val="00621E79"/>
    <w:rsid w:val="00622E40"/>
    <w:rsid w:val="0062324C"/>
    <w:rsid w:val="00623E29"/>
    <w:rsid w:val="00624F15"/>
    <w:rsid w:val="00626BFC"/>
    <w:rsid w:val="00627A27"/>
    <w:rsid w:val="006308DE"/>
    <w:rsid w:val="006312B3"/>
    <w:rsid w:val="00632773"/>
    <w:rsid w:val="00632C6D"/>
    <w:rsid w:val="0063394A"/>
    <w:rsid w:val="00634030"/>
    <w:rsid w:val="00634F45"/>
    <w:rsid w:val="00635748"/>
    <w:rsid w:val="00635F1A"/>
    <w:rsid w:val="00636C49"/>
    <w:rsid w:val="00637F29"/>
    <w:rsid w:val="0064108F"/>
    <w:rsid w:val="00642B63"/>
    <w:rsid w:val="0064372D"/>
    <w:rsid w:val="0064472C"/>
    <w:rsid w:val="00645731"/>
    <w:rsid w:val="00645935"/>
    <w:rsid w:val="00645A42"/>
    <w:rsid w:val="00647AF7"/>
    <w:rsid w:val="00650DED"/>
    <w:rsid w:val="006520A3"/>
    <w:rsid w:val="006523DF"/>
    <w:rsid w:val="00656D92"/>
    <w:rsid w:val="00662ADF"/>
    <w:rsid w:val="00663790"/>
    <w:rsid w:val="0066414C"/>
    <w:rsid w:val="00664763"/>
    <w:rsid w:val="00671DDD"/>
    <w:rsid w:val="00674796"/>
    <w:rsid w:val="00674797"/>
    <w:rsid w:val="00674BF8"/>
    <w:rsid w:val="00676F6C"/>
    <w:rsid w:val="00677959"/>
    <w:rsid w:val="006806EC"/>
    <w:rsid w:val="0068137E"/>
    <w:rsid w:val="006840F8"/>
    <w:rsid w:val="006860C3"/>
    <w:rsid w:val="006863B3"/>
    <w:rsid w:val="00687B3C"/>
    <w:rsid w:val="006900F0"/>
    <w:rsid w:val="00694299"/>
    <w:rsid w:val="0069784E"/>
    <w:rsid w:val="006A0754"/>
    <w:rsid w:val="006A13A5"/>
    <w:rsid w:val="006A205E"/>
    <w:rsid w:val="006A2BBE"/>
    <w:rsid w:val="006A3C0B"/>
    <w:rsid w:val="006A6CBD"/>
    <w:rsid w:val="006A6CF0"/>
    <w:rsid w:val="006B207A"/>
    <w:rsid w:val="006B333B"/>
    <w:rsid w:val="006B37BD"/>
    <w:rsid w:val="006B4198"/>
    <w:rsid w:val="006B46AD"/>
    <w:rsid w:val="006B7840"/>
    <w:rsid w:val="006B7EE5"/>
    <w:rsid w:val="006C06A2"/>
    <w:rsid w:val="006C25B4"/>
    <w:rsid w:val="006C303E"/>
    <w:rsid w:val="006C404A"/>
    <w:rsid w:val="006C58A1"/>
    <w:rsid w:val="006C6495"/>
    <w:rsid w:val="006C7B07"/>
    <w:rsid w:val="006D1A01"/>
    <w:rsid w:val="006D249A"/>
    <w:rsid w:val="006D3532"/>
    <w:rsid w:val="006D4174"/>
    <w:rsid w:val="006D4BFA"/>
    <w:rsid w:val="006D4C12"/>
    <w:rsid w:val="006D78E3"/>
    <w:rsid w:val="006E31E9"/>
    <w:rsid w:val="006E4352"/>
    <w:rsid w:val="006E6619"/>
    <w:rsid w:val="006E7454"/>
    <w:rsid w:val="006E78DD"/>
    <w:rsid w:val="006F0D1C"/>
    <w:rsid w:val="006F123B"/>
    <w:rsid w:val="006F48F2"/>
    <w:rsid w:val="006F4BCF"/>
    <w:rsid w:val="006F5A8E"/>
    <w:rsid w:val="006F5D0B"/>
    <w:rsid w:val="006F6A8D"/>
    <w:rsid w:val="006F72BA"/>
    <w:rsid w:val="00700631"/>
    <w:rsid w:val="00700DE3"/>
    <w:rsid w:val="00702CCB"/>
    <w:rsid w:val="007035AC"/>
    <w:rsid w:val="0070399E"/>
    <w:rsid w:val="00704C5B"/>
    <w:rsid w:val="00704FB6"/>
    <w:rsid w:val="00706329"/>
    <w:rsid w:val="0070781A"/>
    <w:rsid w:val="007109BF"/>
    <w:rsid w:val="00715812"/>
    <w:rsid w:val="00716404"/>
    <w:rsid w:val="00720E3A"/>
    <w:rsid w:val="0072293F"/>
    <w:rsid w:val="007264F8"/>
    <w:rsid w:val="00731E97"/>
    <w:rsid w:val="00732E44"/>
    <w:rsid w:val="00733631"/>
    <w:rsid w:val="00734659"/>
    <w:rsid w:val="0073501D"/>
    <w:rsid w:val="00736E5A"/>
    <w:rsid w:val="00736F54"/>
    <w:rsid w:val="00737AF0"/>
    <w:rsid w:val="00737AFB"/>
    <w:rsid w:val="00743295"/>
    <w:rsid w:val="00745EAD"/>
    <w:rsid w:val="00750CEE"/>
    <w:rsid w:val="00751451"/>
    <w:rsid w:val="00751F16"/>
    <w:rsid w:val="00752C6F"/>
    <w:rsid w:val="00753375"/>
    <w:rsid w:val="00754F0D"/>
    <w:rsid w:val="00755F3B"/>
    <w:rsid w:val="00757819"/>
    <w:rsid w:val="0076205E"/>
    <w:rsid w:val="00762B9C"/>
    <w:rsid w:val="00763348"/>
    <w:rsid w:val="0076341B"/>
    <w:rsid w:val="007635BC"/>
    <w:rsid w:val="00765F00"/>
    <w:rsid w:val="00766481"/>
    <w:rsid w:val="00775062"/>
    <w:rsid w:val="007754B8"/>
    <w:rsid w:val="00776F97"/>
    <w:rsid w:val="0077739F"/>
    <w:rsid w:val="00777770"/>
    <w:rsid w:val="00777A97"/>
    <w:rsid w:val="00782AD3"/>
    <w:rsid w:val="007832FD"/>
    <w:rsid w:val="0078437F"/>
    <w:rsid w:val="007850B1"/>
    <w:rsid w:val="007924C1"/>
    <w:rsid w:val="00792EB7"/>
    <w:rsid w:val="00795A8F"/>
    <w:rsid w:val="00797C09"/>
    <w:rsid w:val="00797EA3"/>
    <w:rsid w:val="00797FCA"/>
    <w:rsid w:val="007A022D"/>
    <w:rsid w:val="007A2821"/>
    <w:rsid w:val="007A2C0B"/>
    <w:rsid w:val="007A2E40"/>
    <w:rsid w:val="007A32C2"/>
    <w:rsid w:val="007A387F"/>
    <w:rsid w:val="007A4591"/>
    <w:rsid w:val="007A50D6"/>
    <w:rsid w:val="007A587E"/>
    <w:rsid w:val="007A62C4"/>
    <w:rsid w:val="007B15B1"/>
    <w:rsid w:val="007B2784"/>
    <w:rsid w:val="007B438C"/>
    <w:rsid w:val="007C0937"/>
    <w:rsid w:val="007C3D9A"/>
    <w:rsid w:val="007C4C8F"/>
    <w:rsid w:val="007C4C9E"/>
    <w:rsid w:val="007C5E7B"/>
    <w:rsid w:val="007D1B8A"/>
    <w:rsid w:val="007D4D75"/>
    <w:rsid w:val="007D59E3"/>
    <w:rsid w:val="007D7519"/>
    <w:rsid w:val="007E03B5"/>
    <w:rsid w:val="007E0DF4"/>
    <w:rsid w:val="007E0FD5"/>
    <w:rsid w:val="007E16B0"/>
    <w:rsid w:val="007E51EE"/>
    <w:rsid w:val="007E5D86"/>
    <w:rsid w:val="007E5FF2"/>
    <w:rsid w:val="007F0BA9"/>
    <w:rsid w:val="007F411A"/>
    <w:rsid w:val="007F507E"/>
    <w:rsid w:val="007F7018"/>
    <w:rsid w:val="00801503"/>
    <w:rsid w:val="008023B8"/>
    <w:rsid w:val="00805326"/>
    <w:rsid w:val="008057A5"/>
    <w:rsid w:val="00806347"/>
    <w:rsid w:val="00806BA1"/>
    <w:rsid w:val="0081037E"/>
    <w:rsid w:val="00811589"/>
    <w:rsid w:val="00811751"/>
    <w:rsid w:val="00813D65"/>
    <w:rsid w:val="008141C3"/>
    <w:rsid w:val="008153AC"/>
    <w:rsid w:val="008157E3"/>
    <w:rsid w:val="00816861"/>
    <w:rsid w:val="00816A6D"/>
    <w:rsid w:val="00816D59"/>
    <w:rsid w:val="00823885"/>
    <w:rsid w:val="00823E84"/>
    <w:rsid w:val="00825659"/>
    <w:rsid w:val="00825B81"/>
    <w:rsid w:val="00826D44"/>
    <w:rsid w:val="00831188"/>
    <w:rsid w:val="00831767"/>
    <w:rsid w:val="00831C60"/>
    <w:rsid w:val="00831CD8"/>
    <w:rsid w:val="00831E3B"/>
    <w:rsid w:val="008320F3"/>
    <w:rsid w:val="00832EDF"/>
    <w:rsid w:val="00833FAC"/>
    <w:rsid w:val="00835BDF"/>
    <w:rsid w:val="0083603F"/>
    <w:rsid w:val="00836B7E"/>
    <w:rsid w:val="00836D8A"/>
    <w:rsid w:val="008420E6"/>
    <w:rsid w:val="00845660"/>
    <w:rsid w:val="008467EC"/>
    <w:rsid w:val="00846CA3"/>
    <w:rsid w:val="0084718B"/>
    <w:rsid w:val="0085003E"/>
    <w:rsid w:val="00853A4E"/>
    <w:rsid w:val="00853ABE"/>
    <w:rsid w:val="008549B4"/>
    <w:rsid w:val="00864DE3"/>
    <w:rsid w:val="00865676"/>
    <w:rsid w:val="00866F34"/>
    <w:rsid w:val="00867073"/>
    <w:rsid w:val="00867D6E"/>
    <w:rsid w:val="00872C10"/>
    <w:rsid w:val="00873B89"/>
    <w:rsid w:val="00874E0E"/>
    <w:rsid w:val="008769A7"/>
    <w:rsid w:val="00877A1B"/>
    <w:rsid w:val="00881513"/>
    <w:rsid w:val="00882890"/>
    <w:rsid w:val="00885AFF"/>
    <w:rsid w:val="00892B75"/>
    <w:rsid w:val="008931AB"/>
    <w:rsid w:val="008943DC"/>
    <w:rsid w:val="0089492A"/>
    <w:rsid w:val="008964EA"/>
    <w:rsid w:val="00896FAE"/>
    <w:rsid w:val="0089701A"/>
    <w:rsid w:val="008A0AA5"/>
    <w:rsid w:val="008A324E"/>
    <w:rsid w:val="008B22B3"/>
    <w:rsid w:val="008B74E7"/>
    <w:rsid w:val="008C0AE2"/>
    <w:rsid w:val="008C14B2"/>
    <w:rsid w:val="008C29A4"/>
    <w:rsid w:val="008C2ECA"/>
    <w:rsid w:val="008C32D2"/>
    <w:rsid w:val="008C47B7"/>
    <w:rsid w:val="008C5960"/>
    <w:rsid w:val="008C70E2"/>
    <w:rsid w:val="008C70F0"/>
    <w:rsid w:val="008D0862"/>
    <w:rsid w:val="008D5ABF"/>
    <w:rsid w:val="008D6A79"/>
    <w:rsid w:val="008D7111"/>
    <w:rsid w:val="008D72B3"/>
    <w:rsid w:val="008E017E"/>
    <w:rsid w:val="008E12B4"/>
    <w:rsid w:val="008E3AD0"/>
    <w:rsid w:val="008E46CF"/>
    <w:rsid w:val="008E506A"/>
    <w:rsid w:val="008E70CF"/>
    <w:rsid w:val="008F0965"/>
    <w:rsid w:val="008F0D84"/>
    <w:rsid w:val="008F13FB"/>
    <w:rsid w:val="008F3F86"/>
    <w:rsid w:val="008F44E9"/>
    <w:rsid w:val="008F46E9"/>
    <w:rsid w:val="008F51D1"/>
    <w:rsid w:val="008F60AA"/>
    <w:rsid w:val="008F756F"/>
    <w:rsid w:val="008F7C2B"/>
    <w:rsid w:val="008F7E59"/>
    <w:rsid w:val="009000DC"/>
    <w:rsid w:val="00900E79"/>
    <w:rsid w:val="009025DD"/>
    <w:rsid w:val="009041AB"/>
    <w:rsid w:val="009043EF"/>
    <w:rsid w:val="0090447D"/>
    <w:rsid w:val="00904A01"/>
    <w:rsid w:val="00907DC0"/>
    <w:rsid w:val="00911642"/>
    <w:rsid w:val="00911E23"/>
    <w:rsid w:val="0091570A"/>
    <w:rsid w:val="00916F01"/>
    <w:rsid w:val="00917199"/>
    <w:rsid w:val="00920588"/>
    <w:rsid w:val="00921D05"/>
    <w:rsid w:val="00925797"/>
    <w:rsid w:val="0092598C"/>
    <w:rsid w:val="00927A0D"/>
    <w:rsid w:val="009305B6"/>
    <w:rsid w:val="00936ED4"/>
    <w:rsid w:val="00943E31"/>
    <w:rsid w:val="00947826"/>
    <w:rsid w:val="0095315F"/>
    <w:rsid w:val="00953A85"/>
    <w:rsid w:val="00955A94"/>
    <w:rsid w:val="00955C04"/>
    <w:rsid w:val="00956B0A"/>
    <w:rsid w:val="00960482"/>
    <w:rsid w:val="00961CF3"/>
    <w:rsid w:val="00965198"/>
    <w:rsid w:val="00965F10"/>
    <w:rsid w:val="00967712"/>
    <w:rsid w:val="009715D7"/>
    <w:rsid w:val="00972098"/>
    <w:rsid w:val="009721B7"/>
    <w:rsid w:val="009725B5"/>
    <w:rsid w:val="0097271B"/>
    <w:rsid w:val="00973E03"/>
    <w:rsid w:val="00977189"/>
    <w:rsid w:val="0097783F"/>
    <w:rsid w:val="0097799A"/>
    <w:rsid w:val="00981FEF"/>
    <w:rsid w:val="009833B4"/>
    <w:rsid w:val="00984019"/>
    <w:rsid w:val="009855B8"/>
    <w:rsid w:val="00986A3C"/>
    <w:rsid w:val="009927AE"/>
    <w:rsid w:val="00992880"/>
    <w:rsid w:val="00992EE0"/>
    <w:rsid w:val="009962C5"/>
    <w:rsid w:val="009A4091"/>
    <w:rsid w:val="009B060D"/>
    <w:rsid w:val="009B0620"/>
    <w:rsid w:val="009B115E"/>
    <w:rsid w:val="009B12BF"/>
    <w:rsid w:val="009B397D"/>
    <w:rsid w:val="009C280B"/>
    <w:rsid w:val="009C3F5C"/>
    <w:rsid w:val="009C4997"/>
    <w:rsid w:val="009C4F5F"/>
    <w:rsid w:val="009C6CA4"/>
    <w:rsid w:val="009D1885"/>
    <w:rsid w:val="009D7056"/>
    <w:rsid w:val="009E21A5"/>
    <w:rsid w:val="009E2947"/>
    <w:rsid w:val="009E2B0B"/>
    <w:rsid w:val="009E2C04"/>
    <w:rsid w:val="009E5550"/>
    <w:rsid w:val="009E60AF"/>
    <w:rsid w:val="009E72BF"/>
    <w:rsid w:val="009E7829"/>
    <w:rsid w:val="009E789A"/>
    <w:rsid w:val="009E7CDA"/>
    <w:rsid w:val="009F15CE"/>
    <w:rsid w:val="009F1FC6"/>
    <w:rsid w:val="009F2D81"/>
    <w:rsid w:val="009F4E28"/>
    <w:rsid w:val="009F54A7"/>
    <w:rsid w:val="009F5858"/>
    <w:rsid w:val="009F5CF7"/>
    <w:rsid w:val="009F6098"/>
    <w:rsid w:val="009F629A"/>
    <w:rsid w:val="009F64F4"/>
    <w:rsid w:val="009F6E16"/>
    <w:rsid w:val="00A0415B"/>
    <w:rsid w:val="00A05EDC"/>
    <w:rsid w:val="00A100D3"/>
    <w:rsid w:val="00A1163A"/>
    <w:rsid w:val="00A12393"/>
    <w:rsid w:val="00A1290F"/>
    <w:rsid w:val="00A13A07"/>
    <w:rsid w:val="00A140A0"/>
    <w:rsid w:val="00A15382"/>
    <w:rsid w:val="00A177C1"/>
    <w:rsid w:val="00A178AD"/>
    <w:rsid w:val="00A17E22"/>
    <w:rsid w:val="00A25B90"/>
    <w:rsid w:val="00A25C1A"/>
    <w:rsid w:val="00A27FC2"/>
    <w:rsid w:val="00A3183A"/>
    <w:rsid w:val="00A318AB"/>
    <w:rsid w:val="00A32B73"/>
    <w:rsid w:val="00A32CBB"/>
    <w:rsid w:val="00A330F4"/>
    <w:rsid w:val="00A3450E"/>
    <w:rsid w:val="00A348C7"/>
    <w:rsid w:val="00A350D6"/>
    <w:rsid w:val="00A35F0D"/>
    <w:rsid w:val="00A40154"/>
    <w:rsid w:val="00A407F1"/>
    <w:rsid w:val="00A40FB4"/>
    <w:rsid w:val="00A422CE"/>
    <w:rsid w:val="00A42DE0"/>
    <w:rsid w:val="00A42FF4"/>
    <w:rsid w:val="00A4598F"/>
    <w:rsid w:val="00A45E5B"/>
    <w:rsid w:val="00A46F27"/>
    <w:rsid w:val="00A510BC"/>
    <w:rsid w:val="00A52AC7"/>
    <w:rsid w:val="00A52E8C"/>
    <w:rsid w:val="00A56092"/>
    <w:rsid w:val="00A570CA"/>
    <w:rsid w:val="00A6355C"/>
    <w:rsid w:val="00A644A8"/>
    <w:rsid w:val="00A7008B"/>
    <w:rsid w:val="00A7073F"/>
    <w:rsid w:val="00A70EBA"/>
    <w:rsid w:val="00A71A9D"/>
    <w:rsid w:val="00A73729"/>
    <w:rsid w:val="00A742FC"/>
    <w:rsid w:val="00A74809"/>
    <w:rsid w:val="00A74C78"/>
    <w:rsid w:val="00A756F2"/>
    <w:rsid w:val="00A75F09"/>
    <w:rsid w:val="00A761CC"/>
    <w:rsid w:val="00A771C6"/>
    <w:rsid w:val="00A80739"/>
    <w:rsid w:val="00A82F9B"/>
    <w:rsid w:val="00A84DC0"/>
    <w:rsid w:val="00A85C8A"/>
    <w:rsid w:val="00A86DBF"/>
    <w:rsid w:val="00A91085"/>
    <w:rsid w:val="00A9118B"/>
    <w:rsid w:val="00A912E7"/>
    <w:rsid w:val="00A91620"/>
    <w:rsid w:val="00A92401"/>
    <w:rsid w:val="00A92E3F"/>
    <w:rsid w:val="00A94D29"/>
    <w:rsid w:val="00A94F61"/>
    <w:rsid w:val="00A95D6C"/>
    <w:rsid w:val="00A970DF"/>
    <w:rsid w:val="00AA12AA"/>
    <w:rsid w:val="00AA193F"/>
    <w:rsid w:val="00AA49B7"/>
    <w:rsid w:val="00AA4ED7"/>
    <w:rsid w:val="00AA6E7A"/>
    <w:rsid w:val="00AB096A"/>
    <w:rsid w:val="00AB0D7E"/>
    <w:rsid w:val="00AB1AD5"/>
    <w:rsid w:val="00AB2190"/>
    <w:rsid w:val="00AB2C59"/>
    <w:rsid w:val="00AB501F"/>
    <w:rsid w:val="00AB5316"/>
    <w:rsid w:val="00AB7A01"/>
    <w:rsid w:val="00AC00CC"/>
    <w:rsid w:val="00AC0D25"/>
    <w:rsid w:val="00AC15A7"/>
    <w:rsid w:val="00AC19EC"/>
    <w:rsid w:val="00AC1B84"/>
    <w:rsid w:val="00AC21BB"/>
    <w:rsid w:val="00AC37C2"/>
    <w:rsid w:val="00AC4DB7"/>
    <w:rsid w:val="00AC6C9F"/>
    <w:rsid w:val="00AC7575"/>
    <w:rsid w:val="00AC7B6A"/>
    <w:rsid w:val="00AD16F6"/>
    <w:rsid w:val="00AD2BB3"/>
    <w:rsid w:val="00AD5894"/>
    <w:rsid w:val="00AD66B0"/>
    <w:rsid w:val="00AD791D"/>
    <w:rsid w:val="00AD7C97"/>
    <w:rsid w:val="00AD7D3B"/>
    <w:rsid w:val="00AE0B35"/>
    <w:rsid w:val="00AE1282"/>
    <w:rsid w:val="00AE2A4C"/>
    <w:rsid w:val="00AE2CBC"/>
    <w:rsid w:val="00AE3D49"/>
    <w:rsid w:val="00AE5824"/>
    <w:rsid w:val="00AE7D10"/>
    <w:rsid w:val="00AF0D73"/>
    <w:rsid w:val="00AF151C"/>
    <w:rsid w:val="00AF3E35"/>
    <w:rsid w:val="00AF3FAE"/>
    <w:rsid w:val="00AF4A2D"/>
    <w:rsid w:val="00B004CE"/>
    <w:rsid w:val="00B00FDC"/>
    <w:rsid w:val="00B0213D"/>
    <w:rsid w:val="00B046AE"/>
    <w:rsid w:val="00B0624C"/>
    <w:rsid w:val="00B07C93"/>
    <w:rsid w:val="00B10A85"/>
    <w:rsid w:val="00B12C18"/>
    <w:rsid w:val="00B133F1"/>
    <w:rsid w:val="00B16978"/>
    <w:rsid w:val="00B26DC9"/>
    <w:rsid w:val="00B276E8"/>
    <w:rsid w:val="00B2788D"/>
    <w:rsid w:val="00B30B36"/>
    <w:rsid w:val="00B30C79"/>
    <w:rsid w:val="00B32B56"/>
    <w:rsid w:val="00B32E83"/>
    <w:rsid w:val="00B33268"/>
    <w:rsid w:val="00B334E5"/>
    <w:rsid w:val="00B420A9"/>
    <w:rsid w:val="00B423A5"/>
    <w:rsid w:val="00B428E9"/>
    <w:rsid w:val="00B43309"/>
    <w:rsid w:val="00B44F4A"/>
    <w:rsid w:val="00B450C3"/>
    <w:rsid w:val="00B46DA4"/>
    <w:rsid w:val="00B479B1"/>
    <w:rsid w:val="00B501D3"/>
    <w:rsid w:val="00B50E0D"/>
    <w:rsid w:val="00B521CC"/>
    <w:rsid w:val="00B566DB"/>
    <w:rsid w:val="00B56DD5"/>
    <w:rsid w:val="00B57B1D"/>
    <w:rsid w:val="00B61B22"/>
    <w:rsid w:val="00B626A8"/>
    <w:rsid w:val="00B63F5E"/>
    <w:rsid w:val="00B64D84"/>
    <w:rsid w:val="00B66086"/>
    <w:rsid w:val="00B66835"/>
    <w:rsid w:val="00B71BF0"/>
    <w:rsid w:val="00B74C21"/>
    <w:rsid w:val="00B765C3"/>
    <w:rsid w:val="00B76E12"/>
    <w:rsid w:val="00B771F8"/>
    <w:rsid w:val="00B8346E"/>
    <w:rsid w:val="00B86900"/>
    <w:rsid w:val="00B90856"/>
    <w:rsid w:val="00B91743"/>
    <w:rsid w:val="00B92508"/>
    <w:rsid w:val="00B935F1"/>
    <w:rsid w:val="00B93612"/>
    <w:rsid w:val="00B94CBA"/>
    <w:rsid w:val="00B94D66"/>
    <w:rsid w:val="00B94ED6"/>
    <w:rsid w:val="00B953F9"/>
    <w:rsid w:val="00B956DD"/>
    <w:rsid w:val="00B96B8D"/>
    <w:rsid w:val="00BA0EA5"/>
    <w:rsid w:val="00BA1B4B"/>
    <w:rsid w:val="00BA39D8"/>
    <w:rsid w:val="00BA4DF0"/>
    <w:rsid w:val="00BA57F1"/>
    <w:rsid w:val="00BA6A02"/>
    <w:rsid w:val="00BA6EB6"/>
    <w:rsid w:val="00BB072E"/>
    <w:rsid w:val="00BB15D1"/>
    <w:rsid w:val="00BB2B45"/>
    <w:rsid w:val="00BB356A"/>
    <w:rsid w:val="00BB537E"/>
    <w:rsid w:val="00BB5C63"/>
    <w:rsid w:val="00BB5FE3"/>
    <w:rsid w:val="00BC0A16"/>
    <w:rsid w:val="00BC0AA7"/>
    <w:rsid w:val="00BC4DB6"/>
    <w:rsid w:val="00BC50AB"/>
    <w:rsid w:val="00BC5449"/>
    <w:rsid w:val="00BC7FBE"/>
    <w:rsid w:val="00BD07B0"/>
    <w:rsid w:val="00BD1D40"/>
    <w:rsid w:val="00BD55A0"/>
    <w:rsid w:val="00BD6A1D"/>
    <w:rsid w:val="00BD7702"/>
    <w:rsid w:val="00BE0515"/>
    <w:rsid w:val="00BE1E9F"/>
    <w:rsid w:val="00BE28CE"/>
    <w:rsid w:val="00BE2BB4"/>
    <w:rsid w:val="00BE3B32"/>
    <w:rsid w:val="00BE3E50"/>
    <w:rsid w:val="00BE52BC"/>
    <w:rsid w:val="00BE7C11"/>
    <w:rsid w:val="00BF0078"/>
    <w:rsid w:val="00BF0C7B"/>
    <w:rsid w:val="00BF4C21"/>
    <w:rsid w:val="00BF53F9"/>
    <w:rsid w:val="00BF5B25"/>
    <w:rsid w:val="00BF6120"/>
    <w:rsid w:val="00C00189"/>
    <w:rsid w:val="00C007F5"/>
    <w:rsid w:val="00C0125C"/>
    <w:rsid w:val="00C026DB"/>
    <w:rsid w:val="00C036E5"/>
    <w:rsid w:val="00C051C8"/>
    <w:rsid w:val="00C0654C"/>
    <w:rsid w:val="00C075F9"/>
    <w:rsid w:val="00C07C86"/>
    <w:rsid w:val="00C10352"/>
    <w:rsid w:val="00C15AE8"/>
    <w:rsid w:val="00C22CA7"/>
    <w:rsid w:val="00C22FF2"/>
    <w:rsid w:val="00C238CC"/>
    <w:rsid w:val="00C23A69"/>
    <w:rsid w:val="00C23AF9"/>
    <w:rsid w:val="00C2568C"/>
    <w:rsid w:val="00C25B5A"/>
    <w:rsid w:val="00C266E5"/>
    <w:rsid w:val="00C26AE3"/>
    <w:rsid w:val="00C27826"/>
    <w:rsid w:val="00C30CE2"/>
    <w:rsid w:val="00C30FDD"/>
    <w:rsid w:val="00C310E9"/>
    <w:rsid w:val="00C314BE"/>
    <w:rsid w:val="00C32B44"/>
    <w:rsid w:val="00C344C3"/>
    <w:rsid w:val="00C34CB6"/>
    <w:rsid w:val="00C35343"/>
    <w:rsid w:val="00C35A2E"/>
    <w:rsid w:val="00C4155A"/>
    <w:rsid w:val="00C41F49"/>
    <w:rsid w:val="00C45B34"/>
    <w:rsid w:val="00C468D2"/>
    <w:rsid w:val="00C47A12"/>
    <w:rsid w:val="00C519FF"/>
    <w:rsid w:val="00C51DED"/>
    <w:rsid w:val="00C531FC"/>
    <w:rsid w:val="00C53FBB"/>
    <w:rsid w:val="00C5475B"/>
    <w:rsid w:val="00C5561E"/>
    <w:rsid w:val="00C56D08"/>
    <w:rsid w:val="00C575BE"/>
    <w:rsid w:val="00C611A1"/>
    <w:rsid w:val="00C6460A"/>
    <w:rsid w:val="00C64D45"/>
    <w:rsid w:val="00C65909"/>
    <w:rsid w:val="00C662AE"/>
    <w:rsid w:val="00C666A1"/>
    <w:rsid w:val="00C66D99"/>
    <w:rsid w:val="00C704B5"/>
    <w:rsid w:val="00C72011"/>
    <w:rsid w:val="00C73F5E"/>
    <w:rsid w:val="00C74698"/>
    <w:rsid w:val="00C74A99"/>
    <w:rsid w:val="00C761A9"/>
    <w:rsid w:val="00C76ECD"/>
    <w:rsid w:val="00C77AFA"/>
    <w:rsid w:val="00C80214"/>
    <w:rsid w:val="00C82161"/>
    <w:rsid w:val="00C82972"/>
    <w:rsid w:val="00C82FAC"/>
    <w:rsid w:val="00C8340A"/>
    <w:rsid w:val="00C916DB"/>
    <w:rsid w:val="00C91BF2"/>
    <w:rsid w:val="00C91CDE"/>
    <w:rsid w:val="00C9370D"/>
    <w:rsid w:val="00C93777"/>
    <w:rsid w:val="00C96C2C"/>
    <w:rsid w:val="00C96DEB"/>
    <w:rsid w:val="00C97604"/>
    <w:rsid w:val="00CA2771"/>
    <w:rsid w:val="00CA3B3F"/>
    <w:rsid w:val="00CA736F"/>
    <w:rsid w:val="00CA7426"/>
    <w:rsid w:val="00CB0C80"/>
    <w:rsid w:val="00CB0E86"/>
    <w:rsid w:val="00CB1112"/>
    <w:rsid w:val="00CB5DC1"/>
    <w:rsid w:val="00CB6163"/>
    <w:rsid w:val="00CB65F9"/>
    <w:rsid w:val="00CB7065"/>
    <w:rsid w:val="00CC1210"/>
    <w:rsid w:val="00CC2D28"/>
    <w:rsid w:val="00CC4A80"/>
    <w:rsid w:val="00CC51FB"/>
    <w:rsid w:val="00CC6C39"/>
    <w:rsid w:val="00CC6EEF"/>
    <w:rsid w:val="00CD1D94"/>
    <w:rsid w:val="00CD257C"/>
    <w:rsid w:val="00CD5717"/>
    <w:rsid w:val="00CD7815"/>
    <w:rsid w:val="00CE0253"/>
    <w:rsid w:val="00CE3665"/>
    <w:rsid w:val="00CE3955"/>
    <w:rsid w:val="00CE3A03"/>
    <w:rsid w:val="00CE72D8"/>
    <w:rsid w:val="00CE7B13"/>
    <w:rsid w:val="00CF12F1"/>
    <w:rsid w:val="00CF2CBD"/>
    <w:rsid w:val="00CF33A2"/>
    <w:rsid w:val="00CF4D9E"/>
    <w:rsid w:val="00CF69CB"/>
    <w:rsid w:val="00CF7609"/>
    <w:rsid w:val="00D0072E"/>
    <w:rsid w:val="00D00EA7"/>
    <w:rsid w:val="00D03E01"/>
    <w:rsid w:val="00D05F2F"/>
    <w:rsid w:val="00D05F49"/>
    <w:rsid w:val="00D11265"/>
    <w:rsid w:val="00D112CF"/>
    <w:rsid w:val="00D11B7E"/>
    <w:rsid w:val="00D11F0D"/>
    <w:rsid w:val="00D14791"/>
    <w:rsid w:val="00D148BC"/>
    <w:rsid w:val="00D16D5B"/>
    <w:rsid w:val="00D171F2"/>
    <w:rsid w:val="00D1773C"/>
    <w:rsid w:val="00D20533"/>
    <w:rsid w:val="00D26962"/>
    <w:rsid w:val="00D26D81"/>
    <w:rsid w:val="00D2723F"/>
    <w:rsid w:val="00D27538"/>
    <w:rsid w:val="00D279D6"/>
    <w:rsid w:val="00D30B17"/>
    <w:rsid w:val="00D31095"/>
    <w:rsid w:val="00D3387E"/>
    <w:rsid w:val="00D35A95"/>
    <w:rsid w:val="00D40A02"/>
    <w:rsid w:val="00D417E2"/>
    <w:rsid w:val="00D457DF"/>
    <w:rsid w:val="00D46C8A"/>
    <w:rsid w:val="00D47FD2"/>
    <w:rsid w:val="00D51E74"/>
    <w:rsid w:val="00D53C8E"/>
    <w:rsid w:val="00D5488D"/>
    <w:rsid w:val="00D5732D"/>
    <w:rsid w:val="00D5748C"/>
    <w:rsid w:val="00D60018"/>
    <w:rsid w:val="00D60407"/>
    <w:rsid w:val="00D607CA"/>
    <w:rsid w:val="00D60A22"/>
    <w:rsid w:val="00D60F1C"/>
    <w:rsid w:val="00D612BF"/>
    <w:rsid w:val="00D61DB2"/>
    <w:rsid w:val="00D62AEC"/>
    <w:rsid w:val="00D66D94"/>
    <w:rsid w:val="00D67AA3"/>
    <w:rsid w:val="00D67F09"/>
    <w:rsid w:val="00D70287"/>
    <w:rsid w:val="00D7098C"/>
    <w:rsid w:val="00D72C1F"/>
    <w:rsid w:val="00D732D0"/>
    <w:rsid w:val="00D7520A"/>
    <w:rsid w:val="00D75832"/>
    <w:rsid w:val="00D758FF"/>
    <w:rsid w:val="00D80887"/>
    <w:rsid w:val="00D80F72"/>
    <w:rsid w:val="00D85223"/>
    <w:rsid w:val="00D8792D"/>
    <w:rsid w:val="00D922DA"/>
    <w:rsid w:val="00D93092"/>
    <w:rsid w:val="00D93495"/>
    <w:rsid w:val="00D93909"/>
    <w:rsid w:val="00D93D40"/>
    <w:rsid w:val="00D940DA"/>
    <w:rsid w:val="00D96060"/>
    <w:rsid w:val="00DA4F1C"/>
    <w:rsid w:val="00DA5117"/>
    <w:rsid w:val="00DB1832"/>
    <w:rsid w:val="00DB19B7"/>
    <w:rsid w:val="00DB1D04"/>
    <w:rsid w:val="00DB34BC"/>
    <w:rsid w:val="00DB5A69"/>
    <w:rsid w:val="00DB5E9F"/>
    <w:rsid w:val="00DB6787"/>
    <w:rsid w:val="00DB69D2"/>
    <w:rsid w:val="00DB6CA7"/>
    <w:rsid w:val="00DC0DDA"/>
    <w:rsid w:val="00DC3549"/>
    <w:rsid w:val="00DC3BF6"/>
    <w:rsid w:val="00DC449E"/>
    <w:rsid w:val="00DC4E4E"/>
    <w:rsid w:val="00DC5809"/>
    <w:rsid w:val="00DD070C"/>
    <w:rsid w:val="00DD07BD"/>
    <w:rsid w:val="00DD093A"/>
    <w:rsid w:val="00DD2CA4"/>
    <w:rsid w:val="00DD2D01"/>
    <w:rsid w:val="00DD4D09"/>
    <w:rsid w:val="00DD623B"/>
    <w:rsid w:val="00DD6291"/>
    <w:rsid w:val="00DD73C3"/>
    <w:rsid w:val="00DD774C"/>
    <w:rsid w:val="00DE005A"/>
    <w:rsid w:val="00DE23DD"/>
    <w:rsid w:val="00DE3900"/>
    <w:rsid w:val="00DF5EF4"/>
    <w:rsid w:val="00DF6CE1"/>
    <w:rsid w:val="00DF7485"/>
    <w:rsid w:val="00DF75E1"/>
    <w:rsid w:val="00E00FEF"/>
    <w:rsid w:val="00E01D0E"/>
    <w:rsid w:val="00E03910"/>
    <w:rsid w:val="00E04ACD"/>
    <w:rsid w:val="00E06328"/>
    <w:rsid w:val="00E070CE"/>
    <w:rsid w:val="00E11ED4"/>
    <w:rsid w:val="00E12876"/>
    <w:rsid w:val="00E13468"/>
    <w:rsid w:val="00E1525C"/>
    <w:rsid w:val="00E17474"/>
    <w:rsid w:val="00E20E27"/>
    <w:rsid w:val="00E2156C"/>
    <w:rsid w:val="00E2249C"/>
    <w:rsid w:val="00E225AE"/>
    <w:rsid w:val="00E23FFC"/>
    <w:rsid w:val="00E25167"/>
    <w:rsid w:val="00E25198"/>
    <w:rsid w:val="00E2611C"/>
    <w:rsid w:val="00E26952"/>
    <w:rsid w:val="00E27B25"/>
    <w:rsid w:val="00E306AD"/>
    <w:rsid w:val="00E31FA8"/>
    <w:rsid w:val="00E33E3F"/>
    <w:rsid w:val="00E35158"/>
    <w:rsid w:val="00E3633C"/>
    <w:rsid w:val="00E36414"/>
    <w:rsid w:val="00E40F28"/>
    <w:rsid w:val="00E43611"/>
    <w:rsid w:val="00E43D2D"/>
    <w:rsid w:val="00E44500"/>
    <w:rsid w:val="00E448B2"/>
    <w:rsid w:val="00E4495E"/>
    <w:rsid w:val="00E45C8C"/>
    <w:rsid w:val="00E45CCE"/>
    <w:rsid w:val="00E464DF"/>
    <w:rsid w:val="00E46544"/>
    <w:rsid w:val="00E468E5"/>
    <w:rsid w:val="00E471ED"/>
    <w:rsid w:val="00E47751"/>
    <w:rsid w:val="00E52744"/>
    <w:rsid w:val="00E54CC2"/>
    <w:rsid w:val="00E55BA6"/>
    <w:rsid w:val="00E564F9"/>
    <w:rsid w:val="00E56733"/>
    <w:rsid w:val="00E60067"/>
    <w:rsid w:val="00E60BBB"/>
    <w:rsid w:val="00E6163F"/>
    <w:rsid w:val="00E62BAB"/>
    <w:rsid w:val="00E63F72"/>
    <w:rsid w:val="00E64216"/>
    <w:rsid w:val="00E650B9"/>
    <w:rsid w:val="00E65A2B"/>
    <w:rsid w:val="00E6691E"/>
    <w:rsid w:val="00E66972"/>
    <w:rsid w:val="00E673B7"/>
    <w:rsid w:val="00E679B2"/>
    <w:rsid w:val="00E73235"/>
    <w:rsid w:val="00E73A55"/>
    <w:rsid w:val="00E7519D"/>
    <w:rsid w:val="00E809DF"/>
    <w:rsid w:val="00E81C33"/>
    <w:rsid w:val="00E83148"/>
    <w:rsid w:val="00E832F7"/>
    <w:rsid w:val="00E841AA"/>
    <w:rsid w:val="00E844A9"/>
    <w:rsid w:val="00E87BAB"/>
    <w:rsid w:val="00E930A7"/>
    <w:rsid w:val="00E949B4"/>
    <w:rsid w:val="00E96FA4"/>
    <w:rsid w:val="00E97C20"/>
    <w:rsid w:val="00EA06CD"/>
    <w:rsid w:val="00EA3D44"/>
    <w:rsid w:val="00EA40B5"/>
    <w:rsid w:val="00EA4347"/>
    <w:rsid w:val="00EB0B74"/>
    <w:rsid w:val="00EB194A"/>
    <w:rsid w:val="00EB3328"/>
    <w:rsid w:val="00EB3385"/>
    <w:rsid w:val="00EB382B"/>
    <w:rsid w:val="00EB4AD1"/>
    <w:rsid w:val="00EB5CBF"/>
    <w:rsid w:val="00EB5ED4"/>
    <w:rsid w:val="00EB5F03"/>
    <w:rsid w:val="00EB6710"/>
    <w:rsid w:val="00EB7069"/>
    <w:rsid w:val="00EC0631"/>
    <w:rsid w:val="00EC13E5"/>
    <w:rsid w:val="00EC242E"/>
    <w:rsid w:val="00EC4AE9"/>
    <w:rsid w:val="00EC4C10"/>
    <w:rsid w:val="00EC5168"/>
    <w:rsid w:val="00EC548F"/>
    <w:rsid w:val="00EC588B"/>
    <w:rsid w:val="00EC5997"/>
    <w:rsid w:val="00EC7804"/>
    <w:rsid w:val="00ED0096"/>
    <w:rsid w:val="00ED0C20"/>
    <w:rsid w:val="00ED0DE3"/>
    <w:rsid w:val="00ED22A3"/>
    <w:rsid w:val="00ED253D"/>
    <w:rsid w:val="00ED2665"/>
    <w:rsid w:val="00ED3F14"/>
    <w:rsid w:val="00ED489B"/>
    <w:rsid w:val="00ED503F"/>
    <w:rsid w:val="00ED6EE9"/>
    <w:rsid w:val="00ED74ED"/>
    <w:rsid w:val="00EE067C"/>
    <w:rsid w:val="00EE13D2"/>
    <w:rsid w:val="00EE1BDF"/>
    <w:rsid w:val="00EE31F7"/>
    <w:rsid w:val="00EE49C3"/>
    <w:rsid w:val="00EE4D8B"/>
    <w:rsid w:val="00EE57F1"/>
    <w:rsid w:val="00EE700E"/>
    <w:rsid w:val="00EE78A0"/>
    <w:rsid w:val="00EF07A5"/>
    <w:rsid w:val="00EF084B"/>
    <w:rsid w:val="00EF0961"/>
    <w:rsid w:val="00EF10DA"/>
    <w:rsid w:val="00EF267C"/>
    <w:rsid w:val="00EF27A9"/>
    <w:rsid w:val="00EF38A7"/>
    <w:rsid w:val="00EF46CE"/>
    <w:rsid w:val="00EF4D4D"/>
    <w:rsid w:val="00EF58AE"/>
    <w:rsid w:val="00EF6411"/>
    <w:rsid w:val="00F0062A"/>
    <w:rsid w:val="00F0072F"/>
    <w:rsid w:val="00F01F91"/>
    <w:rsid w:val="00F01FF3"/>
    <w:rsid w:val="00F02675"/>
    <w:rsid w:val="00F044F1"/>
    <w:rsid w:val="00F04931"/>
    <w:rsid w:val="00F0628F"/>
    <w:rsid w:val="00F06944"/>
    <w:rsid w:val="00F1010D"/>
    <w:rsid w:val="00F11B99"/>
    <w:rsid w:val="00F13C05"/>
    <w:rsid w:val="00F15A30"/>
    <w:rsid w:val="00F24DC9"/>
    <w:rsid w:val="00F24FAA"/>
    <w:rsid w:val="00F26438"/>
    <w:rsid w:val="00F3635B"/>
    <w:rsid w:val="00F417B5"/>
    <w:rsid w:val="00F41EDB"/>
    <w:rsid w:val="00F44515"/>
    <w:rsid w:val="00F4503F"/>
    <w:rsid w:val="00F4515D"/>
    <w:rsid w:val="00F460CA"/>
    <w:rsid w:val="00F46914"/>
    <w:rsid w:val="00F50153"/>
    <w:rsid w:val="00F502A4"/>
    <w:rsid w:val="00F53432"/>
    <w:rsid w:val="00F537CD"/>
    <w:rsid w:val="00F5432D"/>
    <w:rsid w:val="00F55B6A"/>
    <w:rsid w:val="00F55CC7"/>
    <w:rsid w:val="00F56285"/>
    <w:rsid w:val="00F6399E"/>
    <w:rsid w:val="00F663F0"/>
    <w:rsid w:val="00F672F2"/>
    <w:rsid w:val="00F721B8"/>
    <w:rsid w:val="00F72744"/>
    <w:rsid w:val="00F7493D"/>
    <w:rsid w:val="00F74F08"/>
    <w:rsid w:val="00F75127"/>
    <w:rsid w:val="00F77772"/>
    <w:rsid w:val="00F77D83"/>
    <w:rsid w:val="00F86922"/>
    <w:rsid w:val="00F874A8"/>
    <w:rsid w:val="00F919A7"/>
    <w:rsid w:val="00F963B2"/>
    <w:rsid w:val="00F97FCD"/>
    <w:rsid w:val="00FA2716"/>
    <w:rsid w:val="00FA431F"/>
    <w:rsid w:val="00FA5A74"/>
    <w:rsid w:val="00FA7262"/>
    <w:rsid w:val="00FA7749"/>
    <w:rsid w:val="00FB1DA7"/>
    <w:rsid w:val="00FB2375"/>
    <w:rsid w:val="00FB39E7"/>
    <w:rsid w:val="00FB4666"/>
    <w:rsid w:val="00FB4CD1"/>
    <w:rsid w:val="00FB5E29"/>
    <w:rsid w:val="00FB611B"/>
    <w:rsid w:val="00FB65F3"/>
    <w:rsid w:val="00FB701B"/>
    <w:rsid w:val="00FC20D2"/>
    <w:rsid w:val="00FC6900"/>
    <w:rsid w:val="00FD00C2"/>
    <w:rsid w:val="00FD034E"/>
    <w:rsid w:val="00FD3A39"/>
    <w:rsid w:val="00FD633E"/>
    <w:rsid w:val="00FD77C4"/>
    <w:rsid w:val="00FD7B8C"/>
    <w:rsid w:val="00FE25CE"/>
    <w:rsid w:val="00FE2E94"/>
    <w:rsid w:val="00FE3EC5"/>
    <w:rsid w:val="00FE5112"/>
    <w:rsid w:val="00FE7C74"/>
    <w:rsid w:val="00FF3815"/>
    <w:rsid w:val="00FF59CF"/>
    <w:rsid w:val="00FF5C11"/>
    <w:rsid w:val="00FF7223"/>
    <w:rsid w:val="00FF7B40"/>
    <w:rsid w:val="40D816C1"/>
    <w:rsid w:val="5307C1F5"/>
    <w:rsid w:val="785986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1CA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2A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F0DCC"/>
    <w:pPr>
      <w:keepNext/>
      <w:keepLines/>
      <w:spacing w:after="240"/>
      <w:jc w:val="center"/>
      <w:outlineLvl w:val="0"/>
    </w:pPr>
    <w:rPr>
      <w:rFonts w:ascii="Arial" w:eastAsiaTheme="majorEastAsia" w:hAnsi="Arial" w:cs="Arial"/>
      <w:b/>
      <w:sz w:val="28"/>
      <w:szCs w:val="28"/>
    </w:rPr>
  </w:style>
  <w:style w:type="paragraph" w:styleId="Heading2">
    <w:name w:val="heading 2"/>
    <w:basedOn w:val="accessibility"/>
    <w:next w:val="Normal"/>
    <w:link w:val="Heading2Char"/>
    <w:uiPriority w:val="9"/>
    <w:unhideWhenUsed/>
    <w:qFormat/>
    <w:rsid w:val="002F0DCC"/>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DCC"/>
    <w:rPr>
      <w:rFonts w:ascii="Arial" w:eastAsiaTheme="majorEastAsia" w:hAnsi="Arial" w:cs="Arial"/>
      <w:b/>
      <w:kern w:val="0"/>
      <w:sz w:val="28"/>
      <w:szCs w:val="28"/>
      <w14:ligatures w14:val="none"/>
    </w:rPr>
  </w:style>
  <w:style w:type="table" w:styleId="TableGrid">
    <w:name w:val="Table Grid"/>
    <w:basedOn w:val="TableNormal"/>
    <w:uiPriority w:val="59"/>
    <w:rsid w:val="00C662A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662AE"/>
    <w:rPr>
      <w:sz w:val="16"/>
      <w:szCs w:val="16"/>
    </w:rPr>
  </w:style>
  <w:style w:type="paragraph" w:styleId="CommentText">
    <w:name w:val="annotation text"/>
    <w:basedOn w:val="Normal"/>
    <w:link w:val="CommentTextChar"/>
    <w:uiPriority w:val="99"/>
    <w:unhideWhenUsed/>
    <w:rsid w:val="00C662AE"/>
    <w:rPr>
      <w:sz w:val="20"/>
      <w:szCs w:val="20"/>
    </w:rPr>
  </w:style>
  <w:style w:type="character" w:customStyle="1" w:styleId="CommentTextChar">
    <w:name w:val="Comment Text Char"/>
    <w:basedOn w:val="DefaultParagraphFont"/>
    <w:link w:val="CommentText"/>
    <w:uiPriority w:val="99"/>
    <w:rsid w:val="00C662A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662AE"/>
    <w:rPr>
      <w:b/>
      <w:bCs/>
    </w:rPr>
  </w:style>
  <w:style w:type="character" w:customStyle="1" w:styleId="CommentSubjectChar">
    <w:name w:val="Comment Subject Char"/>
    <w:basedOn w:val="CommentTextChar"/>
    <w:link w:val="CommentSubject"/>
    <w:uiPriority w:val="99"/>
    <w:semiHidden/>
    <w:rsid w:val="00C662AE"/>
    <w:rPr>
      <w:rFonts w:ascii="Times New Roman" w:eastAsia="Times New Roman" w:hAnsi="Times New Roman" w:cs="Times New Roman"/>
      <w:b/>
      <w:bCs/>
      <w:kern w:val="0"/>
      <w:sz w:val="20"/>
      <w:szCs w:val="20"/>
      <w14:ligatures w14:val="none"/>
    </w:rPr>
  </w:style>
  <w:style w:type="paragraph" w:customStyle="1" w:styleId="paragraph">
    <w:name w:val="paragraph"/>
    <w:basedOn w:val="Normal"/>
    <w:rsid w:val="00C662AE"/>
    <w:pPr>
      <w:spacing w:before="100" w:beforeAutospacing="1" w:after="100" w:afterAutospacing="1"/>
    </w:pPr>
  </w:style>
  <w:style w:type="character" w:customStyle="1" w:styleId="normaltextrun">
    <w:name w:val="normaltextrun"/>
    <w:basedOn w:val="DefaultParagraphFont"/>
    <w:rsid w:val="00C662AE"/>
  </w:style>
  <w:style w:type="character" w:customStyle="1" w:styleId="eop">
    <w:name w:val="eop"/>
    <w:basedOn w:val="DefaultParagraphFont"/>
    <w:rsid w:val="00C662AE"/>
  </w:style>
  <w:style w:type="character" w:customStyle="1" w:styleId="spellingerror">
    <w:name w:val="spellingerror"/>
    <w:basedOn w:val="DefaultParagraphFont"/>
    <w:rsid w:val="00C662AE"/>
  </w:style>
  <w:style w:type="character" w:customStyle="1" w:styleId="mathspan">
    <w:name w:val="mathspan"/>
    <w:basedOn w:val="DefaultParagraphFont"/>
    <w:rsid w:val="00C662AE"/>
  </w:style>
  <w:style w:type="character" w:customStyle="1" w:styleId="scxw195957732">
    <w:name w:val="scxw195957732"/>
    <w:basedOn w:val="DefaultParagraphFont"/>
    <w:rsid w:val="00C662AE"/>
  </w:style>
  <w:style w:type="character" w:customStyle="1" w:styleId="mo">
    <w:name w:val="mo"/>
    <w:basedOn w:val="DefaultParagraphFont"/>
    <w:rsid w:val="00C662AE"/>
  </w:style>
  <w:style w:type="character" w:customStyle="1" w:styleId="mi">
    <w:name w:val="mi"/>
    <w:basedOn w:val="DefaultParagraphFont"/>
    <w:rsid w:val="00C662AE"/>
  </w:style>
  <w:style w:type="character" w:customStyle="1" w:styleId="mn">
    <w:name w:val="mn"/>
    <w:basedOn w:val="DefaultParagraphFont"/>
    <w:rsid w:val="00C662AE"/>
  </w:style>
  <w:style w:type="character" w:customStyle="1" w:styleId="mjxassistivemathml">
    <w:name w:val="mjx_assistive_mathml"/>
    <w:basedOn w:val="DefaultParagraphFont"/>
    <w:rsid w:val="00C662AE"/>
  </w:style>
  <w:style w:type="character" w:customStyle="1" w:styleId="contextualspellingandgrammarerror">
    <w:name w:val="contextualspellingandgrammarerror"/>
    <w:basedOn w:val="DefaultParagraphFont"/>
    <w:rsid w:val="00C662AE"/>
  </w:style>
  <w:style w:type="paragraph" w:styleId="ListParagraph">
    <w:name w:val="List Paragraph"/>
    <w:basedOn w:val="Normal"/>
    <w:uiPriority w:val="34"/>
    <w:qFormat/>
    <w:rsid w:val="00C662AE"/>
    <w:pPr>
      <w:ind w:left="720"/>
      <w:contextualSpacing/>
    </w:pPr>
  </w:style>
  <w:style w:type="paragraph" w:styleId="Header">
    <w:name w:val="header"/>
    <w:basedOn w:val="Normal"/>
    <w:link w:val="HeaderChar"/>
    <w:uiPriority w:val="99"/>
    <w:unhideWhenUsed/>
    <w:rsid w:val="00C662AE"/>
    <w:pPr>
      <w:tabs>
        <w:tab w:val="center" w:pos="4680"/>
        <w:tab w:val="right" w:pos="9360"/>
      </w:tabs>
    </w:pPr>
  </w:style>
  <w:style w:type="character" w:customStyle="1" w:styleId="HeaderChar">
    <w:name w:val="Header Char"/>
    <w:basedOn w:val="DefaultParagraphFont"/>
    <w:link w:val="Header"/>
    <w:uiPriority w:val="99"/>
    <w:rsid w:val="00C662A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C662AE"/>
    <w:pPr>
      <w:tabs>
        <w:tab w:val="center" w:pos="4680"/>
        <w:tab w:val="right" w:pos="9360"/>
      </w:tabs>
    </w:pPr>
  </w:style>
  <w:style w:type="character" w:customStyle="1" w:styleId="FooterChar">
    <w:name w:val="Footer Char"/>
    <w:basedOn w:val="DefaultParagraphFont"/>
    <w:link w:val="Footer"/>
    <w:uiPriority w:val="99"/>
    <w:rsid w:val="00C662AE"/>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662AE"/>
    <w:rPr>
      <w:color w:val="0563C1" w:themeColor="hyperlink"/>
      <w:u w:val="single"/>
    </w:rPr>
  </w:style>
  <w:style w:type="character" w:styleId="UnresolvedMention">
    <w:name w:val="Unresolved Mention"/>
    <w:basedOn w:val="DefaultParagraphFont"/>
    <w:uiPriority w:val="99"/>
    <w:unhideWhenUsed/>
    <w:rsid w:val="00C662AE"/>
    <w:rPr>
      <w:color w:val="605E5C"/>
      <w:shd w:val="clear" w:color="auto" w:fill="E1DFDD"/>
    </w:rPr>
  </w:style>
  <w:style w:type="paragraph" w:styleId="Revision">
    <w:name w:val="Revision"/>
    <w:hidden/>
    <w:uiPriority w:val="99"/>
    <w:semiHidden/>
    <w:rsid w:val="00C662AE"/>
    <w:pPr>
      <w:spacing w:after="0" w:line="240" w:lineRule="auto"/>
    </w:pPr>
    <w:rPr>
      <w:rFonts w:ascii="Times New Roman" w:eastAsia="Times New Roman" w:hAnsi="Times New Roman" w:cs="Times New Roman"/>
      <w:kern w:val="0"/>
      <w:sz w:val="24"/>
      <w:szCs w:val="24"/>
      <w14:ligatures w14:val="none"/>
    </w:rPr>
  </w:style>
  <w:style w:type="paragraph" w:customStyle="1" w:styleId="accessibility">
    <w:name w:val="accessibility"/>
    <w:basedOn w:val="Heading1"/>
    <w:qFormat/>
    <w:rsid w:val="00C662AE"/>
    <w:rPr>
      <w:b w:val="0"/>
      <w:color w:val="C00000"/>
    </w:rPr>
  </w:style>
  <w:style w:type="character" w:styleId="Mention">
    <w:name w:val="Mention"/>
    <w:basedOn w:val="DefaultParagraphFont"/>
    <w:uiPriority w:val="99"/>
    <w:unhideWhenUsed/>
    <w:rsid w:val="0084718B"/>
    <w:rPr>
      <w:color w:val="2B579A"/>
      <w:shd w:val="clear" w:color="auto" w:fill="E1DFDD"/>
    </w:rPr>
  </w:style>
  <w:style w:type="character" w:customStyle="1" w:styleId="Heading2Char">
    <w:name w:val="Heading 2 Char"/>
    <w:basedOn w:val="DefaultParagraphFont"/>
    <w:link w:val="Heading2"/>
    <w:uiPriority w:val="9"/>
    <w:rsid w:val="002F0DCC"/>
    <w:rPr>
      <w:rFonts w:ascii="Arial" w:eastAsiaTheme="majorEastAsia" w:hAnsi="Arial" w:cs="Arial"/>
      <w:color w:val="C00000"/>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ca.ca.gov/consumers/public_info/index.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41d56f-6ca1-4d16-908f-d9eaae11fece">
      <Terms xmlns="http://schemas.microsoft.com/office/infopath/2007/PartnerControls"/>
    </lcf76f155ced4ddcb4097134ff3c332f>
    <TaxCatchAll xmlns="db4b35ea-5a1b-4390-964d-1c6847989529" xsi:nil="true"/>
    <Greg xmlns="0441d56f-6ca1-4d16-908f-d9eaae11fece">true</Greg>
    <Completed xmlns="0441d56f-6ca1-4d16-908f-d9eaae11fece">false</Comple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995CC4A3BADF4BB9BFA2A897695107" ma:contentTypeVersion="16" ma:contentTypeDescription="Create a new document." ma:contentTypeScope="" ma:versionID="391083e0371ff436f97ba8adfb3503a2">
  <xsd:schema xmlns:xsd="http://www.w3.org/2001/XMLSchema" xmlns:xs="http://www.w3.org/2001/XMLSchema" xmlns:p="http://schemas.microsoft.com/office/2006/metadata/properties" xmlns:ns2="0441d56f-6ca1-4d16-908f-d9eaae11fece" xmlns:ns3="db4b35ea-5a1b-4390-964d-1c6847989529" targetNamespace="http://schemas.microsoft.com/office/2006/metadata/properties" ma:root="true" ma:fieldsID="99bfe3ae71560300c1a59cdf1cef68c0" ns2:_="" ns3:_="">
    <xsd:import namespace="0441d56f-6ca1-4d16-908f-d9eaae11fece"/>
    <xsd:import namespace="db4b35ea-5a1b-4390-964d-1c68479895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Greg"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d56f-6ca1-4d16-908f-d9eaae11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reg" ma:index="22" nillable="true" ma:displayName="Greg" ma:default="1" ma:description="Completed Report Form Skeletal Structure" ma:format="Dropdown" ma:internalName="Greg">
      <xsd:simpleType>
        <xsd:restriction base="dms:Boolean"/>
      </xsd:simpleType>
    </xsd:element>
    <xsd:element name="Completed" ma:index="23" nillable="true" ma:displayName="Completed" ma:default="0" ma:description="Completed Report Form Skeletal Structure"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b35ea-5a1b-4390-964d-1c68479895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48a70-57a6-4ca8-87c6-837256f976be}" ma:internalName="TaxCatchAll" ma:showField="CatchAllData" ma:web="db4b35ea-5a1b-4390-964d-1c684798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329BA-3369-402C-BB60-A06969FA685F}">
  <ds:schemaRefs>
    <ds:schemaRef ds:uri="0441d56f-6ca1-4d16-908f-d9eaae11fece"/>
    <ds:schemaRef ds:uri="db4b35ea-5a1b-4390-964d-1c6847989529"/>
    <ds:schemaRef ds:uri="http://schemas.microsoft.com/office/infopath/2007/PartnerControl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DA61E903-781F-42DC-A2DD-526AADC54861}">
  <ds:schemaRefs>
    <ds:schemaRef ds:uri="http://schemas.microsoft.com/sharepoint/v3/contenttype/forms"/>
  </ds:schemaRefs>
</ds:datastoreItem>
</file>

<file path=customXml/itemProps3.xml><?xml version="1.0" encoding="utf-8"?>
<ds:datastoreItem xmlns:ds="http://schemas.openxmlformats.org/officeDocument/2006/customXml" ds:itemID="{B6A66B50-B895-4D1E-AC2A-E7AFA2E0B300}">
  <ds:schemaRefs>
    <ds:schemaRef ds:uri="http://schemas.openxmlformats.org/officeDocument/2006/bibliography"/>
  </ds:schemaRefs>
</ds:datastoreItem>
</file>

<file path=customXml/itemProps4.xml><?xml version="1.0" encoding="utf-8"?>
<ds:datastoreItem xmlns:ds="http://schemas.openxmlformats.org/officeDocument/2006/customXml" ds:itemID="{D3F41B70-D843-4E23-9FD2-E6C58F545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d56f-6ca1-4d16-908f-d9eaae11fece"/>
    <ds:schemaRef ds:uri="db4b35ea-5a1b-4390-964d-1c684798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4347</Words>
  <Characters>24779</Characters>
  <Application>Microsoft Office Word</Application>
  <DocSecurity>8</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29068</CharactersWithSpaces>
  <SharedDoc>false</SharedDoc>
  <HLinks>
    <vt:vector size="6" baseType="variant">
      <vt:variant>
        <vt:i4>2097182</vt:i4>
      </vt:variant>
      <vt:variant>
        <vt:i4>0</vt:i4>
      </vt:variant>
      <vt:variant>
        <vt:i4>0</vt:i4>
      </vt:variant>
      <vt:variant>
        <vt:i4>5</vt:i4>
      </vt:variant>
      <vt:variant>
        <vt:lpwstr>https://www.dca.ca.gov/consumers/public_info/index.shtml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Schedules A_to_A-6_MH_Ratios_RY2026</dc:title>
  <dc:subject/>
  <dc:creator/>
  <cp:keywords/>
  <dc:description/>
  <cp:lastModifiedBy/>
  <cp:revision>1</cp:revision>
  <dcterms:created xsi:type="dcterms:W3CDTF">2025-11-25T04:41:00Z</dcterms:created>
  <dcterms:modified xsi:type="dcterms:W3CDTF">2025-12-10T20:30:00Z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0x010100FB995CC4A3BADF4BB9BFA2A897695107</vt:lpwstr>
  </property>
  <property fmtid="{D5CDD505-2E9C-101B-9397-08002B2CF9AE}" pid="4" name="GrammarlyDocumentId">
    <vt:lpwstr>8ce0f6e4dbb993814048839414c026fd31411945e4a80fd32988231c1957cc99</vt:lpwstr>
  </property>
</Properties>
</file>