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CA5FC" w14:textId="0D0DC527" w:rsidR="00CD59FB" w:rsidRPr="00BF65A3" w:rsidRDefault="00CD59FB" w:rsidP="009F63CA">
      <w:pPr>
        <w:pStyle w:val="Heading1"/>
        <w:spacing w:before="0" w:after="240"/>
        <w:rPr>
          <w:rFonts w:eastAsia="Times New Roman"/>
          <w:szCs w:val="28"/>
        </w:rPr>
      </w:pPr>
      <w:r w:rsidRPr="00BF65A3">
        <w:rPr>
          <w:rFonts w:eastAsia="Times New Roman"/>
          <w:szCs w:val="28"/>
        </w:rPr>
        <w:t xml:space="preserve">Schedule </w:t>
      </w:r>
      <w:r w:rsidR="006E5AC7" w:rsidRPr="00BF65A3">
        <w:rPr>
          <w:rFonts w:eastAsia="Times New Roman"/>
          <w:szCs w:val="28"/>
        </w:rPr>
        <w:t>F</w:t>
      </w:r>
    </w:p>
    <w:p w14:paraId="7844C936" w14:textId="652D3FD9" w:rsidR="00CD59FB" w:rsidRPr="00BF65A3" w:rsidRDefault="00CD59FB" w:rsidP="00635F1B">
      <w:pPr>
        <w:pStyle w:val="paragraph"/>
        <w:spacing w:before="0" w:beforeAutospacing="0" w:after="240" w:afterAutospacing="0"/>
        <w:jc w:val="center"/>
        <w:textAlignment w:val="baseline"/>
        <w:rPr>
          <w:rFonts w:ascii="Arial" w:hAnsi="Arial" w:cs="Arial"/>
          <w:sz w:val="28"/>
          <w:szCs w:val="28"/>
          <w:u w:val="single"/>
        </w:rPr>
      </w:pPr>
      <w:r w:rsidRPr="00BF65A3">
        <w:rPr>
          <w:rStyle w:val="normaltextrun"/>
          <w:rFonts w:ascii="Arial" w:eastAsiaTheme="majorEastAsia" w:hAnsi="Arial" w:cs="Arial"/>
          <w:b/>
          <w:bCs/>
          <w:sz w:val="28"/>
          <w:szCs w:val="28"/>
          <w:u w:val="single"/>
        </w:rPr>
        <w:t>Alternative Methodology for a Combined County Threshold</w:t>
      </w:r>
      <w:r w:rsidR="00352502" w:rsidRPr="00BF65A3">
        <w:rPr>
          <w:rStyle w:val="normaltextrun"/>
          <w:rFonts w:ascii="Arial" w:eastAsiaTheme="majorEastAsia" w:hAnsi="Arial" w:cs="Arial"/>
          <w:b/>
          <w:bCs/>
          <w:sz w:val="28"/>
          <w:szCs w:val="28"/>
          <w:u w:val="single"/>
        </w:rPr>
        <w:br/>
      </w:r>
      <w:r w:rsidR="006E5AC7" w:rsidRPr="00BF65A3">
        <w:rPr>
          <w:rStyle w:val="normaltextrun"/>
          <w:rFonts w:ascii="Arial" w:eastAsiaTheme="majorEastAsia" w:hAnsi="Arial" w:cs="Arial"/>
          <w:b/>
          <w:bCs/>
          <w:sz w:val="28"/>
          <w:szCs w:val="28"/>
          <w:u w:val="single"/>
        </w:rPr>
        <w:t>PCP</w:t>
      </w:r>
      <w:r w:rsidRPr="00BF65A3">
        <w:rPr>
          <w:rStyle w:val="normaltextrun"/>
          <w:rFonts w:ascii="Arial" w:eastAsiaTheme="majorEastAsia" w:hAnsi="Arial" w:cs="Arial"/>
          <w:b/>
          <w:bCs/>
          <w:sz w:val="28"/>
          <w:szCs w:val="28"/>
          <w:u w:val="single"/>
        </w:rPr>
        <w:t>, Accepting New Patients</w:t>
      </w:r>
      <w:r w:rsidR="00352502" w:rsidRPr="00BF65A3">
        <w:rPr>
          <w:rStyle w:val="normaltextrun"/>
          <w:rFonts w:ascii="Arial" w:eastAsiaTheme="majorEastAsia" w:hAnsi="Arial" w:cs="Arial"/>
          <w:b/>
          <w:bCs/>
          <w:sz w:val="28"/>
          <w:szCs w:val="28"/>
          <w:u w:val="single"/>
        </w:rPr>
        <w:br/>
      </w:r>
      <w:r w:rsidRPr="00BF65A3">
        <w:rPr>
          <w:rStyle w:val="normaltextrun"/>
          <w:rFonts w:ascii="Arial" w:eastAsiaTheme="majorEastAsia" w:hAnsi="Arial" w:cs="Arial"/>
          <w:b/>
          <w:bCs/>
          <w:sz w:val="28"/>
          <w:szCs w:val="28"/>
          <w:u w:val="single"/>
        </w:rPr>
        <w:t>CEAC and Rural Counties</w:t>
      </w:r>
    </w:p>
    <w:p w14:paraId="01E804D9" w14:textId="0EA857C4" w:rsidR="00CD59FB" w:rsidRPr="00AE2038" w:rsidRDefault="00CD59FB" w:rsidP="00CD59FB">
      <w:pPr>
        <w:pStyle w:val="paragraph"/>
        <w:numPr>
          <w:ilvl w:val="0"/>
          <w:numId w:val="2"/>
        </w:numPr>
        <w:spacing w:before="0" w:beforeAutospacing="0" w:after="240" w:afterAutospacing="0"/>
        <w:rPr>
          <w:rStyle w:val="normaltextrun"/>
          <w:rFonts w:ascii="Arial" w:eastAsiaTheme="majorEastAsia" w:hAnsi="Arial" w:cs="Arial"/>
          <w:u w:val="single"/>
        </w:rPr>
      </w:pPr>
      <w:r w:rsidRPr="00AE2038">
        <w:rPr>
          <w:rStyle w:val="normaltextrun"/>
          <w:rFonts w:ascii="Arial" w:eastAsiaTheme="majorEastAsia" w:hAnsi="Arial" w:cs="Arial"/>
          <w:u w:val="single"/>
        </w:rPr>
        <w:t xml:space="preserve">To account for more limited availability of </w:t>
      </w:r>
      <w:r w:rsidR="008A0285">
        <w:rPr>
          <w:rStyle w:val="normaltextrun"/>
          <w:rFonts w:ascii="Arial" w:eastAsiaTheme="majorEastAsia" w:hAnsi="Arial" w:cs="Arial"/>
          <w:u w:val="single"/>
        </w:rPr>
        <w:t xml:space="preserve">primary care physicians </w:t>
      </w:r>
      <w:r w:rsidR="00D91E0B">
        <w:rPr>
          <w:rStyle w:val="normaltextrun"/>
          <w:rFonts w:ascii="Arial" w:eastAsiaTheme="majorEastAsia" w:hAnsi="Arial" w:cs="Arial"/>
          <w:u w:val="single"/>
        </w:rPr>
        <w:t>(</w:t>
      </w:r>
      <w:r w:rsidR="005C0E89">
        <w:rPr>
          <w:rStyle w:val="normaltextrun"/>
          <w:rFonts w:ascii="Arial" w:eastAsiaTheme="majorEastAsia" w:hAnsi="Arial" w:cs="Arial"/>
          <w:u w:val="single"/>
        </w:rPr>
        <w:t>PCP</w:t>
      </w:r>
      <w:r w:rsidR="00D91E0B">
        <w:rPr>
          <w:rStyle w:val="normaltextrun"/>
          <w:rFonts w:ascii="Arial" w:eastAsiaTheme="majorEastAsia" w:hAnsi="Arial" w:cs="Arial"/>
          <w:u w:val="single"/>
        </w:rPr>
        <w:t xml:space="preserve">) </w:t>
      </w:r>
      <w:r w:rsidRPr="00AE2038">
        <w:rPr>
          <w:rStyle w:val="normaltextrun"/>
          <w:rFonts w:ascii="Arial" w:eastAsiaTheme="majorEastAsia" w:hAnsi="Arial" w:cs="Arial"/>
          <w:u w:val="single"/>
        </w:rPr>
        <w:t xml:space="preserve">in CEAC and Rural counties, the </w:t>
      </w:r>
      <w:r w:rsidR="001F36CA" w:rsidRPr="00253631">
        <w:rPr>
          <w:rStyle w:val="normaltextrun"/>
          <w:rFonts w:ascii="Arial" w:eastAsiaTheme="majorEastAsia" w:hAnsi="Arial" w:cs="Arial"/>
          <w:u w:val="single"/>
        </w:rPr>
        <w:t>Department of Managed Health Care (</w:t>
      </w:r>
      <w:r w:rsidRPr="00AE2038">
        <w:rPr>
          <w:rStyle w:val="normaltextrun"/>
          <w:rFonts w:ascii="Arial" w:eastAsiaTheme="majorEastAsia" w:hAnsi="Arial" w:cs="Arial"/>
          <w:u w:val="single"/>
        </w:rPr>
        <w:t>DMHC</w:t>
      </w:r>
      <w:r w:rsidR="001F36CA">
        <w:rPr>
          <w:rStyle w:val="normaltextrun"/>
          <w:rFonts w:ascii="Arial" w:eastAsiaTheme="majorEastAsia" w:hAnsi="Arial" w:cs="Arial"/>
          <w:u w:val="single"/>
        </w:rPr>
        <w:t>)</w:t>
      </w:r>
      <w:r w:rsidRPr="00AE2038">
        <w:rPr>
          <w:rStyle w:val="normaltextrun"/>
          <w:rFonts w:ascii="Arial" w:eastAsiaTheme="majorEastAsia" w:hAnsi="Arial" w:cs="Arial"/>
          <w:u w:val="single"/>
        </w:rPr>
        <w:t xml:space="preserve"> may combine a CEAC or Rural County that is unable to meet the County Threshold for </w:t>
      </w:r>
      <w:r w:rsidR="006E5AC7">
        <w:rPr>
          <w:rStyle w:val="normaltextrun"/>
          <w:rFonts w:ascii="Arial" w:eastAsiaTheme="majorEastAsia" w:hAnsi="Arial" w:cs="Arial"/>
          <w:u w:val="single"/>
        </w:rPr>
        <w:t>PCPs</w:t>
      </w:r>
      <w:r w:rsidRPr="00AE2038">
        <w:rPr>
          <w:rStyle w:val="normaltextrun"/>
          <w:rFonts w:ascii="Arial" w:eastAsiaTheme="majorEastAsia" w:hAnsi="Arial" w:cs="Arial"/>
          <w:u w:val="single"/>
        </w:rPr>
        <w:t>, Accepting New Patients, with an adjacent county or counties, to achieve a combined county threshold. The counties shall be combined for the purposes of determining the following:</w:t>
      </w:r>
    </w:p>
    <w:p w14:paraId="3D0E9F6C" w14:textId="012E8D1E" w:rsidR="00CD59FB" w:rsidRPr="005D2DB7" w:rsidRDefault="00CD59FB" w:rsidP="00CD59FB">
      <w:pPr>
        <w:pStyle w:val="ListParagraph"/>
        <w:numPr>
          <w:ilvl w:val="3"/>
          <w:numId w:val="2"/>
        </w:numPr>
        <w:spacing w:after="240" w:line="252" w:lineRule="auto"/>
        <w:ind w:left="1080"/>
        <w:contextualSpacing w:val="0"/>
        <w:rPr>
          <w:rStyle w:val="normaltextrun"/>
          <w:rFonts w:ascii="Arial" w:eastAsia="Times New Roman" w:hAnsi="Arial" w:cs="Arial"/>
          <w:sz w:val="24"/>
          <w:szCs w:val="24"/>
          <w:u w:val="single"/>
        </w:rPr>
      </w:pPr>
      <w:r w:rsidRPr="00AE2038">
        <w:rPr>
          <w:rFonts w:ascii="Arial" w:hAnsi="Arial" w:cs="Arial"/>
          <w:sz w:val="24"/>
          <w:szCs w:val="24"/>
          <w:u w:val="single"/>
        </w:rPr>
        <w:t xml:space="preserve">Whether </w:t>
      </w:r>
      <w:r w:rsidRPr="005D2DB7">
        <w:rPr>
          <w:rFonts w:ascii="Arial" w:hAnsi="Arial" w:cs="Arial"/>
          <w:sz w:val="24"/>
          <w:szCs w:val="24"/>
          <w:u w:val="single"/>
        </w:rPr>
        <w:t xml:space="preserve">at least </w:t>
      </w:r>
      <w:r w:rsidR="00ED2F4C" w:rsidRPr="005D2DB7">
        <w:rPr>
          <w:rFonts w:ascii="Arial" w:hAnsi="Arial" w:cs="Arial"/>
          <w:sz w:val="24"/>
          <w:szCs w:val="24"/>
          <w:u w:val="single"/>
        </w:rPr>
        <w:t>75</w:t>
      </w:r>
      <w:r w:rsidRPr="005D2DB7">
        <w:rPr>
          <w:rFonts w:ascii="Arial" w:hAnsi="Arial" w:cs="Arial"/>
          <w:sz w:val="24"/>
          <w:szCs w:val="24"/>
          <w:u w:val="single"/>
        </w:rPr>
        <w:t xml:space="preserve">% of </w:t>
      </w:r>
      <w:r w:rsidR="005C0E89" w:rsidRPr="005D2DB7">
        <w:rPr>
          <w:rFonts w:ascii="Arial" w:hAnsi="Arial" w:cs="Arial"/>
          <w:sz w:val="24"/>
          <w:szCs w:val="24"/>
          <w:u w:val="single"/>
        </w:rPr>
        <w:t>PCP</w:t>
      </w:r>
      <w:r w:rsidRPr="005D2DB7">
        <w:rPr>
          <w:rFonts w:ascii="Arial" w:hAnsi="Arial" w:cs="Arial"/>
          <w:sz w:val="24"/>
          <w:szCs w:val="24"/>
          <w:u w:val="single"/>
        </w:rPr>
        <w:t xml:space="preserve"> locations in the combined counties are a </w:t>
      </w:r>
      <w:r w:rsidR="005C0E89" w:rsidRPr="005D2DB7">
        <w:rPr>
          <w:rFonts w:ascii="Arial" w:hAnsi="Arial" w:cs="Arial"/>
          <w:sz w:val="24"/>
          <w:szCs w:val="24"/>
          <w:u w:val="single"/>
        </w:rPr>
        <w:t>PCP</w:t>
      </w:r>
      <w:r w:rsidR="006F0F65" w:rsidRPr="005D2DB7">
        <w:rPr>
          <w:rFonts w:ascii="Arial" w:hAnsi="Arial" w:cs="Arial"/>
          <w:sz w:val="24"/>
          <w:szCs w:val="24"/>
          <w:u w:val="single"/>
        </w:rPr>
        <w:t xml:space="preserve"> </w:t>
      </w:r>
      <w:r w:rsidRPr="005D2DB7">
        <w:rPr>
          <w:rFonts w:ascii="Arial" w:hAnsi="Arial" w:cs="Arial"/>
          <w:sz w:val="24"/>
          <w:szCs w:val="24"/>
          <w:u w:val="single"/>
        </w:rPr>
        <w:t>location accepting new patients.</w:t>
      </w:r>
    </w:p>
    <w:p w14:paraId="7506BA9D" w14:textId="0EAA5857" w:rsidR="00CD59FB" w:rsidRPr="00AE2038" w:rsidRDefault="00CD59FB" w:rsidP="00CD59FB">
      <w:pPr>
        <w:pStyle w:val="paragraph"/>
        <w:numPr>
          <w:ilvl w:val="0"/>
          <w:numId w:val="2"/>
        </w:numPr>
        <w:spacing w:before="0" w:beforeAutospacing="0" w:after="240" w:afterAutospacing="0"/>
        <w:rPr>
          <w:rFonts w:ascii="Arial" w:hAnsi="Arial" w:cs="Arial"/>
          <w:u w:val="single"/>
        </w:rPr>
      </w:pPr>
      <w:r w:rsidRPr="005D2DB7">
        <w:rPr>
          <w:rStyle w:val="normaltextrun"/>
          <w:rFonts w:ascii="Arial" w:eastAsiaTheme="majorEastAsia" w:hAnsi="Arial" w:cs="Arial"/>
          <w:u w:val="single"/>
        </w:rPr>
        <w:t>The DMHC will follow the steps below to calculate the applicable county compliance threshold within a combined county grouping, subject to the rules identified within subsection I.C</w:t>
      </w:r>
      <w:r w:rsidR="00045AAE">
        <w:rPr>
          <w:rStyle w:val="normaltextrun"/>
          <w:rFonts w:ascii="Arial" w:eastAsiaTheme="majorEastAsia" w:hAnsi="Arial" w:cs="Arial"/>
          <w:u w:val="single"/>
        </w:rPr>
        <w:t>.</w:t>
      </w:r>
      <w:r w:rsidRPr="005D2DB7">
        <w:rPr>
          <w:rStyle w:val="normaltextrun"/>
          <w:rFonts w:ascii="Arial" w:eastAsiaTheme="majorEastAsia" w:hAnsi="Arial" w:cs="Arial"/>
          <w:u w:val="single"/>
        </w:rPr>
        <w:t xml:space="preserve"> of the </w:t>
      </w:r>
      <w:r w:rsidR="005C0E89" w:rsidRPr="005D2DB7">
        <w:rPr>
          <w:rStyle w:val="normaltextrun"/>
          <w:rFonts w:ascii="Arial" w:eastAsiaTheme="majorEastAsia" w:hAnsi="Arial" w:cs="Arial"/>
          <w:u w:val="single"/>
        </w:rPr>
        <w:t xml:space="preserve">Primary Care Physician </w:t>
      </w:r>
      <w:r w:rsidRPr="005D2DB7">
        <w:rPr>
          <w:rStyle w:val="normaltextrun"/>
          <w:rFonts w:ascii="Arial" w:eastAsiaTheme="majorEastAsia" w:hAnsi="Arial" w:cs="Arial"/>
          <w:u w:val="single"/>
        </w:rPr>
        <w:t>Accepting New Patients Standards and Methodology document</w:t>
      </w:r>
      <w:r w:rsidRPr="00AE2038">
        <w:rPr>
          <w:rStyle w:val="normaltextrun"/>
          <w:rFonts w:ascii="Arial" w:eastAsiaTheme="majorEastAsia" w:hAnsi="Arial" w:cs="Arial"/>
          <w:u w:val="single"/>
        </w:rPr>
        <w:t>:</w:t>
      </w:r>
    </w:p>
    <w:p w14:paraId="1E321BB6" w14:textId="25AD6684" w:rsidR="00CD59FB" w:rsidRPr="00AE2038" w:rsidRDefault="00CD59FB" w:rsidP="00CD59FB">
      <w:pPr>
        <w:pStyle w:val="paragraph"/>
        <w:numPr>
          <w:ilvl w:val="0"/>
          <w:numId w:val="1"/>
        </w:numPr>
        <w:spacing w:before="0" w:beforeAutospacing="0" w:after="240" w:afterAutospacing="0"/>
        <w:textAlignment w:val="baseline"/>
        <w:rPr>
          <w:rFonts w:ascii="Arial" w:hAnsi="Arial" w:cs="Arial"/>
          <w:u w:val="single"/>
        </w:rPr>
      </w:pPr>
      <w:r w:rsidRPr="00AE2038">
        <w:rPr>
          <w:rStyle w:val="normaltextrun"/>
          <w:rFonts w:ascii="Arial" w:eastAsiaTheme="majorEastAsia" w:hAnsi="Arial" w:cs="Arial"/>
          <w:u w:val="single"/>
        </w:rPr>
        <w:t>Identify all deficient CEAC and Rural counties within the network service area. For reporting year (RY) 202</w:t>
      </w:r>
      <w:r w:rsidR="00C40DE6">
        <w:rPr>
          <w:rStyle w:val="normaltextrun"/>
          <w:rFonts w:ascii="Arial" w:eastAsiaTheme="majorEastAsia" w:hAnsi="Arial" w:cs="Arial"/>
          <w:u w:val="single"/>
        </w:rPr>
        <w:t>5</w:t>
      </w:r>
      <w:r w:rsidRPr="00AE2038">
        <w:rPr>
          <w:rStyle w:val="normaltextrun"/>
          <w:rFonts w:ascii="Arial" w:eastAsiaTheme="majorEastAsia" w:hAnsi="Arial" w:cs="Arial"/>
          <w:u w:val="single"/>
        </w:rPr>
        <w:t xml:space="preserve"> designated CEAC counties </w:t>
      </w:r>
      <w:r w:rsidRPr="00AE2038">
        <w:rPr>
          <w:rStyle w:val="contextualspellingandgrammarerror"/>
          <w:rFonts w:ascii="Arial" w:eastAsiaTheme="majorEastAsia" w:hAnsi="Arial" w:cs="Arial"/>
          <w:u w:val="single"/>
        </w:rPr>
        <w:t>include:</w:t>
      </w:r>
      <w:r w:rsidRPr="00AE2038">
        <w:rPr>
          <w:rStyle w:val="normaltextrun"/>
          <w:rFonts w:ascii="Arial" w:eastAsiaTheme="majorEastAsia" w:hAnsi="Arial" w:cs="Arial"/>
          <w:u w:val="single"/>
        </w:rPr>
        <w:t xml:space="preserve"> </w:t>
      </w:r>
      <w:r w:rsidRPr="00AE2038">
        <w:rPr>
          <w:rStyle w:val="normaltextrun"/>
          <w:rFonts w:ascii="Arial" w:eastAsiaTheme="majorEastAsia" w:hAnsi="Arial" w:cs="Arial"/>
          <w:i/>
          <w:iCs/>
          <w:u w:val="single"/>
        </w:rPr>
        <w:t>Alpine, Del Norte, Inyo, Lassen, Modoc, Mono, Siskiyou, and Trinity</w:t>
      </w:r>
      <w:r w:rsidRPr="00AE2038">
        <w:rPr>
          <w:rStyle w:val="normaltextrun"/>
          <w:rFonts w:ascii="Arial" w:eastAsiaTheme="majorEastAsia" w:hAnsi="Arial" w:cs="Arial"/>
          <w:u w:val="single"/>
        </w:rPr>
        <w:t xml:space="preserve">. Designated Rural counties </w:t>
      </w:r>
      <w:r w:rsidR="00D91E0B" w:rsidRPr="00AE2038">
        <w:rPr>
          <w:rStyle w:val="contextualspellingandgrammarerror"/>
          <w:rFonts w:ascii="Arial" w:eastAsiaTheme="majorEastAsia" w:hAnsi="Arial" w:cs="Arial"/>
          <w:u w:val="single"/>
        </w:rPr>
        <w:t>include</w:t>
      </w:r>
      <w:r w:rsidR="009F648C">
        <w:rPr>
          <w:rStyle w:val="contextualspellingandgrammarerror"/>
          <w:rFonts w:ascii="Arial" w:eastAsiaTheme="majorEastAsia" w:hAnsi="Arial" w:cs="Arial"/>
          <w:u w:val="single"/>
        </w:rPr>
        <w:t>:</w:t>
      </w:r>
      <w:r w:rsidRPr="00AE2038">
        <w:rPr>
          <w:rStyle w:val="normaltextrun"/>
          <w:rFonts w:ascii="Arial" w:eastAsiaTheme="majorEastAsia" w:hAnsi="Arial" w:cs="Arial"/>
          <w:u w:val="single"/>
        </w:rPr>
        <w:t xml:space="preserve"> </w:t>
      </w:r>
      <w:r w:rsidRPr="00AE2038">
        <w:rPr>
          <w:rStyle w:val="normaltextrun"/>
          <w:rFonts w:ascii="Arial" w:eastAsiaTheme="majorEastAsia" w:hAnsi="Arial" w:cs="Arial"/>
          <w:i/>
          <w:iCs/>
          <w:u w:val="single"/>
        </w:rPr>
        <w:t>Calaveras, Colusa, Glenn, and Mariposa.</w:t>
      </w:r>
    </w:p>
    <w:p w14:paraId="035DE691" w14:textId="59859AED" w:rsidR="00CD59FB" w:rsidRDefault="00CD59FB" w:rsidP="00CD59FB">
      <w:pPr>
        <w:pStyle w:val="paragraph"/>
        <w:numPr>
          <w:ilvl w:val="0"/>
          <w:numId w:val="1"/>
        </w:numPr>
        <w:spacing w:before="0" w:beforeAutospacing="0" w:after="240" w:afterAutospacing="0"/>
        <w:textAlignment w:val="baseline"/>
        <w:rPr>
          <w:rStyle w:val="normaltextrun"/>
          <w:rFonts w:ascii="Arial" w:eastAsiaTheme="majorEastAsia" w:hAnsi="Arial" w:cs="Arial"/>
          <w:u w:val="single"/>
        </w:rPr>
      </w:pPr>
      <w:r w:rsidRPr="00AE2038">
        <w:rPr>
          <w:rStyle w:val="normaltextrun"/>
          <w:rFonts w:ascii="Arial" w:eastAsiaTheme="majorEastAsia" w:hAnsi="Arial" w:cs="Arial"/>
          <w:u w:val="single"/>
        </w:rPr>
        <w:t>Identify adjacent sufficient counties within the network service area or adjacent to the network service area</w:t>
      </w:r>
      <w:r w:rsidRPr="00173EA6">
        <w:rPr>
          <w:rStyle w:val="normaltextrun"/>
          <w:rFonts w:ascii="Arial" w:eastAsiaTheme="majorEastAsia" w:hAnsi="Arial" w:cs="Arial"/>
          <w:u w:val="single"/>
        </w:rPr>
        <w:t>.</w:t>
      </w:r>
    </w:p>
    <w:p w14:paraId="59B59E40" w14:textId="35C95BEF" w:rsidR="002027A8" w:rsidRPr="002027A8" w:rsidRDefault="002027A8" w:rsidP="002027A8">
      <w:pPr>
        <w:pStyle w:val="ListParagraph"/>
        <w:numPr>
          <w:ilvl w:val="1"/>
          <w:numId w:val="1"/>
        </w:numPr>
        <w:spacing w:after="240" w:line="240" w:lineRule="auto"/>
        <w:contextualSpacing w:val="0"/>
        <w:textAlignment w:val="baseline"/>
        <w:rPr>
          <w:rFonts w:ascii="Arial" w:hAnsi="Arial" w:cs="Arial"/>
          <w:sz w:val="24"/>
          <w:szCs w:val="24"/>
          <w:u w:val="single"/>
        </w:rPr>
      </w:pPr>
      <w:r w:rsidRPr="002027A8">
        <w:rPr>
          <w:rFonts w:ascii="Arial" w:hAnsi="Arial" w:cs="Arial"/>
          <w:sz w:val="24"/>
          <w:szCs w:val="24"/>
          <w:u w:val="single"/>
        </w:rPr>
        <w:t>Adjacent counties include counties bordering the deficient county, whether inside or outside of the network service area. Adjacent counties in other states are applicable to this analysis. Additionally, the DMHC has identified certain counties as exceptions to the county adjacency rule. These counties will be treated as an adjacent county to the deficient county being evaluated for the Combined County Alternative, due to the travel distance from the county’s metro center to the deficient county.</w:t>
      </w:r>
    </w:p>
    <w:p w14:paraId="43C1403E" w14:textId="08D8C355" w:rsidR="002027A8" w:rsidRPr="00637652" w:rsidRDefault="002027A8" w:rsidP="00637652">
      <w:pPr>
        <w:pStyle w:val="ListParagraph"/>
        <w:numPr>
          <w:ilvl w:val="1"/>
          <w:numId w:val="1"/>
        </w:numPr>
        <w:spacing w:after="240" w:line="240" w:lineRule="auto"/>
        <w:contextualSpacing w:val="0"/>
        <w:textAlignment w:val="baseline"/>
        <w:rPr>
          <w:rStyle w:val="normaltextrun"/>
          <w:rFonts w:ascii="Arial" w:hAnsi="Arial" w:cs="Arial"/>
          <w:sz w:val="24"/>
          <w:szCs w:val="24"/>
          <w:u w:val="single"/>
        </w:rPr>
      </w:pPr>
      <w:r w:rsidRPr="002027A8">
        <w:rPr>
          <w:rFonts w:ascii="Arial" w:hAnsi="Arial" w:cs="Arial"/>
          <w:sz w:val="24"/>
          <w:szCs w:val="24"/>
          <w:u w:val="single"/>
        </w:rPr>
        <w:t xml:space="preserve">For a list of adjacent counties, and non-adjacent county exceptions, refer to the document entitled </w:t>
      </w:r>
      <w:r w:rsidRPr="00791231">
        <w:rPr>
          <w:rFonts w:ascii="Arial" w:hAnsi="Arial" w:cs="Arial"/>
          <w:b/>
          <w:bCs/>
          <w:sz w:val="24"/>
          <w:szCs w:val="24"/>
          <w:u w:val="single"/>
        </w:rPr>
        <w:t>“Adjacent Counties and Exceptions for RY 2025 Standards and Methodology”</w:t>
      </w:r>
      <w:r w:rsidRPr="00791231">
        <w:rPr>
          <w:rFonts w:ascii="Arial" w:hAnsi="Arial" w:cs="Arial"/>
          <w:sz w:val="24"/>
          <w:szCs w:val="24"/>
          <w:u w:val="single"/>
        </w:rPr>
        <w:t xml:space="preserve"> </w:t>
      </w:r>
      <w:r w:rsidRPr="002027A8">
        <w:rPr>
          <w:rFonts w:ascii="Arial" w:hAnsi="Arial" w:cs="Arial"/>
          <w:sz w:val="24"/>
          <w:szCs w:val="24"/>
          <w:u w:val="single"/>
        </w:rPr>
        <w:t xml:space="preserve">attached to the Reporting Year 2025 </w:t>
      </w:r>
      <w:r w:rsidR="005D49CE">
        <w:rPr>
          <w:rFonts w:ascii="Arial" w:hAnsi="Arial" w:cs="Arial"/>
          <w:sz w:val="24"/>
          <w:szCs w:val="24"/>
          <w:u w:val="single"/>
        </w:rPr>
        <w:t xml:space="preserve">Primary Care Physician Accepting New Patients </w:t>
      </w:r>
      <w:r w:rsidRPr="002027A8">
        <w:rPr>
          <w:rFonts w:ascii="Arial" w:hAnsi="Arial" w:cs="Arial"/>
          <w:sz w:val="24"/>
          <w:szCs w:val="24"/>
          <w:u w:val="single"/>
        </w:rPr>
        <w:t>Standards and Methodology document.</w:t>
      </w:r>
    </w:p>
    <w:p w14:paraId="44630D29" w14:textId="346B1596" w:rsidR="00CD59FB" w:rsidRPr="00173EA6" w:rsidRDefault="00CD59FB" w:rsidP="00CD59FB">
      <w:pPr>
        <w:pStyle w:val="paragraph"/>
        <w:numPr>
          <w:ilvl w:val="0"/>
          <w:numId w:val="1"/>
        </w:numPr>
        <w:spacing w:before="0" w:beforeAutospacing="0" w:after="240" w:afterAutospacing="0"/>
        <w:textAlignment w:val="baseline"/>
        <w:rPr>
          <w:rStyle w:val="normaltextrun"/>
          <w:rFonts w:ascii="Arial" w:eastAsiaTheme="majorEastAsia" w:hAnsi="Arial" w:cs="Arial"/>
          <w:u w:val="single"/>
        </w:rPr>
      </w:pPr>
      <w:r w:rsidRPr="00AE2038">
        <w:rPr>
          <w:rStyle w:val="normaltextrun"/>
          <w:rFonts w:ascii="Arial" w:eastAsiaTheme="majorEastAsia" w:hAnsi="Arial" w:cs="Arial"/>
          <w:u w:val="single"/>
        </w:rPr>
        <w:t xml:space="preserve">Define a potential county grouping. A county grouping consists of two or more adjacent counties that meet the parameters of either a deficient county grouping, or a sufficient county grouping, as described in </w:t>
      </w:r>
      <w:r w:rsidRPr="00173EA6">
        <w:rPr>
          <w:rStyle w:val="normaltextrun"/>
          <w:rFonts w:ascii="Arial" w:eastAsiaTheme="majorEastAsia" w:hAnsi="Arial" w:cs="Arial"/>
          <w:u w:val="single"/>
        </w:rPr>
        <w:t>subsection I.C</w:t>
      </w:r>
      <w:r w:rsidR="00045AAE">
        <w:rPr>
          <w:rStyle w:val="normaltextrun"/>
          <w:rFonts w:ascii="Arial" w:eastAsiaTheme="majorEastAsia" w:hAnsi="Arial" w:cs="Arial"/>
          <w:u w:val="single"/>
        </w:rPr>
        <w:t>.</w:t>
      </w:r>
      <w:r w:rsidRPr="00173EA6">
        <w:rPr>
          <w:rStyle w:val="normaltextrun"/>
          <w:rFonts w:ascii="Arial" w:eastAsiaTheme="majorEastAsia" w:hAnsi="Arial" w:cs="Arial"/>
          <w:u w:val="single"/>
        </w:rPr>
        <w:t xml:space="preserve"> of </w:t>
      </w:r>
      <w:r w:rsidRPr="00173EA6">
        <w:rPr>
          <w:rStyle w:val="normaltextrun"/>
          <w:rFonts w:ascii="Arial" w:eastAsiaTheme="majorEastAsia" w:hAnsi="Arial" w:cs="Arial"/>
          <w:u w:val="single"/>
        </w:rPr>
        <w:lastRenderedPageBreak/>
        <w:t xml:space="preserve">the </w:t>
      </w:r>
      <w:r w:rsidR="00C40DE6">
        <w:rPr>
          <w:rStyle w:val="normaltextrun"/>
          <w:rFonts w:ascii="Arial" w:eastAsiaTheme="majorEastAsia" w:hAnsi="Arial" w:cs="Arial"/>
          <w:u w:val="single"/>
        </w:rPr>
        <w:t xml:space="preserve">Primary Care Physician </w:t>
      </w:r>
      <w:r w:rsidRPr="00173EA6">
        <w:rPr>
          <w:rStyle w:val="normaltextrun"/>
          <w:rFonts w:ascii="Arial" w:eastAsiaTheme="majorEastAsia" w:hAnsi="Arial" w:cs="Arial"/>
          <w:u w:val="single"/>
          <w:shd w:val="clear" w:color="auto" w:fill="FFFFFF"/>
        </w:rPr>
        <w:t>Accepting New Patients Standards and Methodology document.</w:t>
      </w:r>
    </w:p>
    <w:p w14:paraId="26FCB87C" w14:textId="77777777" w:rsidR="00CD59FB" w:rsidRPr="00173EA6" w:rsidRDefault="00CD59FB" w:rsidP="00CD59FB">
      <w:pPr>
        <w:pStyle w:val="paragraph"/>
        <w:numPr>
          <w:ilvl w:val="0"/>
          <w:numId w:val="1"/>
        </w:numPr>
        <w:spacing w:before="0" w:beforeAutospacing="0" w:after="240" w:afterAutospacing="0"/>
        <w:textAlignment w:val="baseline"/>
        <w:rPr>
          <w:rStyle w:val="normaltextrun"/>
          <w:rFonts w:ascii="Arial" w:eastAsiaTheme="majorEastAsia" w:hAnsi="Arial" w:cs="Arial"/>
          <w:u w:val="single"/>
        </w:rPr>
      </w:pPr>
      <w:r w:rsidRPr="00173EA6">
        <w:rPr>
          <w:rStyle w:val="normaltextrun"/>
          <w:rFonts w:ascii="Arial" w:eastAsiaTheme="majorEastAsia" w:hAnsi="Arial" w:cs="Arial"/>
          <w:u w:val="single"/>
        </w:rPr>
        <w:t xml:space="preserve">Once a county is included in a county grouping, exclude the county from consideration in other county groupings. </w:t>
      </w:r>
      <w:r w:rsidRPr="00173EA6">
        <w:rPr>
          <w:rFonts w:ascii="Arial" w:hAnsi="Arial" w:cs="Arial"/>
          <w:u w:val="single"/>
        </w:rPr>
        <w:t>The DMHC will not evaluate a combined county separately under the standard for accepting new patients.</w:t>
      </w:r>
    </w:p>
    <w:p w14:paraId="483E37AD" w14:textId="391EBD00" w:rsidR="00CD59FB" w:rsidRPr="00AE2038" w:rsidRDefault="00CD59FB" w:rsidP="00CD59FB">
      <w:pPr>
        <w:pStyle w:val="paragraph"/>
        <w:numPr>
          <w:ilvl w:val="0"/>
          <w:numId w:val="1"/>
        </w:numPr>
        <w:spacing w:before="0" w:beforeAutospacing="0" w:after="240" w:afterAutospacing="0"/>
        <w:textAlignment w:val="baseline"/>
        <w:rPr>
          <w:rStyle w:val="normaltextrun"/>
          <w:rFonts w:ascii="Arial" w:eastAsiaTheme="majorEastAsia" w:hAnsi="Arial" w:cs="Arial"/>
          <w:u w:val="single"/>
        </w:rPr>
      </w:pPr>
      <w:r w:rsidRPr="00173EA6">
        <w:rPr>
          <w:rStyle w:val="normaltextrun"/>
          <w:rFonts w:ascii="Arial" w:eastAsiaTheme="majorEastAsia" w:hAnsi="Arial" w:cs="Arial"/>
          <w:u w:val="single"/>
        </w:rPr>
        <w:t xml:space="preserve">Calculate a single rate for accepting new patients across the combined county grouping. The single threshold evaluates whether at least </w:t>
      </w:r>
      <w:r w:rsidR="00CC21E0" w:rsidRPr="00791231">
        <w:rPr>
          <w:rFonts w:ascii="Arial" w:hAnsi="Arial" w:cs="Arial"/>
          <w:u w:val="single"/>
        </w:rPr>
        <w:t>75</w:t>
      </w:r>
      <w:r w:rsidRPr="00791231">
        <w:rPr>
          <w:rFonts w:ascii="Arial" w:hAnsi="Arial" w:cs="Arial"/>
          <w:u w:val="single"/>
        </w:rPr>
        <w:t>% of</w:t>
      </w:r>
      <w:r w:rsidRPr="00AE2038">
        <w:rPr>
          <w:rFonts w:ascii="Arial" w:hAnsi="Arial" w:cs="Arial"/>
          <w:u w:val="single"/>
        </w:rPr>
        <w:t xml:space="preserve"> </w:t>
      </w:r>
      <w:r w:rsidR="00D15AF0">
        <w:rPr>
          <w:rFonts w:ascii="Arial" w:hAnsi="Arial" w:cs="Arial"/>
          <w:u w:val="single"/>
        </w:rPr>
        <w:t xml:space="preserve">PCP </w:t>
      </w:r>
      <w:r w:rsidRPr="00AE2038">
        <w:rPr>
          <w:rFonts w:ascii="Arial" w:hAnsi="Arial" w:cs="Arial"/>
          <w:u w:val="single"/>
        </w:rPr>
        <w:t>locations in the combined counties are a</w:t>
      </w:r>
      <w:r w:rsidR="00D15AF0">
        <w:rPr>
          <w:rFonts w:ascii="Arial" w:hAnsi="Arial" w:cs="Arial"/>
          <w:u w:val="single"/>
        </w:rPr>
        <w:t xml:space="preserve"> PCP</w:t>
      </w:r>
      <w:r w:rsidRPr="00AE2038">
        <w:rPr>
          <w:rFonts w:ascii="Arial" w:hAnsi="Arial" w:cs="Arial"/>
          <w:u w:val="single"/>
        </w:rPr>
        <w:t xml:space="preserve"> location accepting new patients, as defined.</w:t>
      </w:r>
    </w:p>
    <w:p w14:paraId="15EABE65" w14:textId="236B1258" w:rsidR="00CD59FB" w:rsidRPr="004F779C" w:rsidRDefault="00CD59FB" w:rsidP="00CD59FB">
      <w:pPr>
        <w:pStyle w:val="paragraph"/>
        <w:numPr>
          <w:ilvl w:val="1"/>
          <w:numId w:val="1"/>
        </w:numPr>
        <w:spacing w:before="0" w:beforeAutospacing="0" w:after="240" w:afterAutospacing="0"/>
        <w:textAlignment w:val="baseline"/>
        <w:rPr>
          <w:rStyle w:val="normaltextrun"/>
          <w:rFonts w:ascii="Arial" w:eastAsiaTheme="minorHAnsi" w:hAnsi="Arial" w:cs="Arial"/>
          <w:u w:val="single"/>
        </w:rPr>
      </w:pPr>
      <w:r w:rsidRPr="004F779C">
        <w:rPr>
          <w:rStyle w:val="normaltextrun"/>
          <w:rFonts w:ascii="Arial" w:eastAsiaTheme="majorEastAsia" w:hAnsi="Arial" w:cs="Arial"/>
          <w:u w:val="single"/>
        </w:rPr>
        <w:t xml:space="preserve">The combined county rate is the sum across all included counties, of all </w:t>
      </w:r>
      <w:r w:rsidR="00D15AF0">
        <w:rPr>
          <w:rStyle w:val="normaltextrun"/>
          <w:rFonts w:ascii="Arial" w:eastAsiaTheme="majorEastAsia" w:hAnsi="Arial" w:cs="Arial"/>
          <w:u w:val="single"/>
        </w:rPr>
        <w:t>PCP</w:t>
      </w:r>
      <w:r w:rsidRPr="004F779C">
        <w:rPr>
          <w:rStyle w:val="normaltextrun"/>
          <w:rFonts w:ascii="Arial" w:eastAsiaTheme="majorEastAsia" w:hAnsi="Arial" w:cs="Arial"/>
          <w:u w:val="single"/>
        </w:rPr>
        <w:t xml:space="preserve"> locations accepting new patients, as defined, divided by the sum of all </w:t>
      </w:r>
      <w:r w:rsidR="00D15AF0">
        <w:rPr>
          <w:rStyle w:val="normaltextrun"/>
          <w:rFonts w:ascii="Arial" w:eastAsiaTheme="majorEastAsia" w:hAnsi="Arial" w:cs="Arial"/>
          <w:u w:val="single"/>
        </w:rPr>
        <w:t>PCP</w:t>
      </w:r>
      <w:r w:rsidRPr="004F779C">
        <w:rPr>
          <w:rStyle w:val="normaltextrun"/>
          <w:rFonts w:ascii="Arial" w:eastAsiaTheme="majorEastAsia" w:hAnsi="Arial" w:cs="Arial"/>
          <w:u w:val="single"/>
        </w:rPr>
        <w:t xml:space="preserve"> locations in the combined counties.</w:t>
      </w:r>
    </w:p>
    <w:p w14:paraId="6996D44C" w14:textId="0129108A" w:rsidR="00CD59FB" w:rsidRPr="004F779C" w:rsidRDefault="00CD59FB" w:rsidP="00CD59FB">
      <w:pPr>
        <w:pStyle w:val="paragraph"/>
        <w:numPr>
          <w:ilvl w:val="1"/>
          <w:numId w:val="1"/>
        </w:numPr>
        <w:spacing w:before="0" w:beforeAutospacing="0" w:after="240" w:afterAutospacing="0"/>
        <w:textAlignment w:val="baseline"/>
        <w:rPr>
          <w:rStyle w:val="eop"/>
          <w:rFonts w:ascii="Arial" w:eastAsiaTheme="majorEastAsia" w:hAnsi="Arial" w:cs="Arial"/>
          <w:u w:val="single"/>
        </w:rPr>
      </w:pPr>
      <w:r w:rsidRPr="004F779C">
        <w:rPr>
          <w:rStyle w:val="normaltextrun"/>
          <w:rFonts w:ascii="Arial" w:eastAsiaTheme="majorEastAsia" w:hAnsi="Arial" w:cs="Arial"/>
          <w:u w:val="single"/>
        </w:rPr>
        <w:t xml:space="preserve">When a CEAC or Rural County within the network service area has no reported </w:t>
      </w:r>
      <w:r w:rsidR="00D15AF0">
        <w:rPr>
          <w:rStyle w:val="normaltextrun"/>
          <w:rFonts w:ascii="Arial" w:eastAsiaTheme="majorEastAsia" w:hAnsi="Arial" w:cs="Arial"/>
          <w:u w:val="single"/>
        </w:rPr>
        <w:t>PCP</w:t>
      </w:r>
      <w:r w:rsidRPr="004F779C">
        <w:rPr>
          <w:rStyle w:val="normaltextrun"/>
          <w:rFonts w:ascii="Arial" w:eastAsiaTheme="majorEastAsia" w:hAnsi="Arial" w:cs="Arial"/>
          <w:u w:val="single"/>
        </w:rPr>
        <w:t xml:space="preserve"> locations, for the purposes of calculating the combined county threshold, a minimum expected number of </w:t>
      </w:r>
      <w:r w:rsidR="006950AA">
        <w:rPr>
          <w:rStyle w:val="normaltextrun"/>
          <w:rFonts w:ascii="Arial" w:eastAsiaTheme="majorEastAsia" w:hAnsi="Arial" w:cs="Arial"/>
          <w:u w:val="single"/>
        </w:rPr>
        <w:t>PCP</w:t>
      </w:r>
      <w:r w:rsidRPr="004F779C">
        <w:rPr>
          <w:rStyle w:val="normaltextrun"/>
          <w:rFonts w:ascii="Arial" w:eastAsiaTheme="majorEastAsia" w:hAnsi="Arial" w:cs="Arial"/>
          <w:u w:val="single"/>
        </w:rPr>
        <w:t xml:space="preserve"> locations will be allocated to the county to reflect the number of </w:t>
      </w:r>
      <w:r w:rsidR="006950AA">
        <w:rPr>
          <w:rStyle w:val="normaltextrun"/>
          <w:rFonts w:ascii="Arial" w:eastAsiaTheme="majorEastAsia" w:hAnsi="Arial" w:cs="Arial"/>
          <w:u w:val="single"/>
        </w:rPr>
        <w:t>PCP</w:t>
      </w:r>
      <w:r w:rsidRPr="004F779C">
        <w:rPr>
          <w:rStyle w:val="normaltextrun"/>
          <w:rFonts w:ascii="Arial" w:eastAsiaTheme="majorEastAsia" w:hAnsi="Arial" w:cs="Arial"/>
          <w:u w:val="single"/>
        </w:rPr>
        <w:t xml:space="preserve"> locations most networks in that county type are providing to enrollees. </w:t>
      </w:r>
      <w:r w:rsidRPr="004F779C">
        <w:rPr>
          <w:rStyle w:val="contextualspellingandgrammarerror"/>
          <w:rFonts w:ascii="Arial" w:eastAsiaTheme="majorEastAsia" w:hAnsi="Arial" w:cs="Arial"/>
          <w:u w:val="single"/>
        </w:rPr>
        <w:t>A</w:t>
      </w:r>
      <w:r w:rsidRPr="004F779C">
        <w:rPr>
          <w:rStyle w:val="normaltextrun"/>
          <w:rFonts w:ascii="Arial" w:eastAsiaTheme="majorEastAsia" w:hAnsi="Arial" w:cs="Arial"/>
          <w:u w:val="single"/>
        </w:rPr>
        <w:t xml:space="preserve"> value of one </w:t>
      </w:r>
      <w:r w:rsidR="006950AA">
        <w:rPr>
          <w:rStyle w:val="normaltextrun"/>
          <w:rFonts w:ascii="Arial" w:eastAsiaTheme="majorEastAsia" w:hAnsi="Arial" w:cs="Arial"/>
          <w:u w:val="single"/>
        </w:rPr>
        <w:t>PCP</w:t>
      </w:r>
      <w:r w:rsidRPr="004F779C">
        <w:rPr>
          <w:rStyle w:val="normaltextrun"/>
          <w:rFonts w:ascii="Arial" w:eastAsiaTheme="majorEastAsia" w:hAnsi="Arial" w:cs="Arial"/>
          <w:u w:val="single"/>
        </w:rPr>
        <w:t xml:space="preserve"> location will be added to the CEAC county, and a value of two </w:t>
      </w:r>
      <w:r w:rsidR="006950AA">
        <w:rPr>
          <w:rStyle w:val="normaltextrun"/>
          <w:rFonts w:ascii="Arial" w:eastAsiaTheme="majorEastAsia" w:hAnsi="Arial" w:cs="Arial"/>
          <w:u w:val="single"/>
        </w:rPr>
        <w:t>PCP</w:t>
      </w:r>
      <w:r w:rsidRPr="004F779C">
        <w:rPr>
          <w:rStyle w:val="normaltextrun"/>
          <w:rFonts w:ascii="Arial" w:eastAsiaTheme="majorEastAsia" w:hAnsi="Arial" w:cs="Arial"/>
          <w:u w:val="single"/>
        </w:rPr>
        <w:t xml:space="preserve"> locations will be added to the Rural County.</w:t>
      </w:r>
      <w:r w:rsidRPr="004F779C" w:rsidDel="00A52E4D">
        <w:rPr>
          <w:rStyle w:val="normaltextrun"/>
          <w:rFonts w:ascii="Arial" w:eastAsiaTheme="majorEastAsia" w:hAnsi="Arial" w:cs="Arial"/>
          <w:u w:val="single"/>
        </w:rPr>
        <w:t xml:space="preserve"> </w:t>
      </w:r>
      <w:r w:rsidRPr="004F779C">
        <w:rPr>
          <w:rStyle w:val="normaltextrun"/>
          <w:rFonts w:ascii="Arial" w:eastAsiaTheme="majorEastAsia" w:hAnsi="Arial" w:cs="Arial"/>
          <w:u w:val="single"/>
        </w:rPr>
        <w:t xml:space="preserve">The </w:t>
      </w:r>
      <w:r w:rsidR="006950AA">
        <w:rPr>
          <w:rStyle w:val="normaltextrun"/>
          <w:rFonts w:ascii="Arial" w:eastAsiaTheme="majorEastAsia" w:hAnsi="Arial" w:cs="Arial"/>
          <w:u w:val="single"/>
        </w:rPr>
        <w:t>PCP</w:t>
      </w:r>
      <w:r w:rsidRPr="004F779C">
        <w:rPr>
          <w:rStyle w:val="normaltextrun"/>
          <w:rFonts w:ascii="Arial" w:eastAsiaTheme="majorEastAsia" w:hAnsi="Arial" w:cs="Arial"/>
          <w:u w:val="single"/>
        </w:rPr>
        <w:t xml:space="preserve"> locations allocated to the county will be included in the denominator when determining the percentage of providers accepting new patients.</w:t>
      </w:r>
    </w:p>
    <w:p w14:paraId="5A5B5CDF" w14:textId="4D5A7F84" w:rsidR="00CD59FB" w:rsidRPr="004F779C" w:rsidRDefault="00CD59FB" w:rsidP="00CD59FB">
      <w:pPr>
        <w:pStyle w:val="paragraph"/>
        <w:numPr>
          <w:ilvl w:val="0"/>
          <w:numId w:val="2"/>
        </w:numPr>
        <w:spacing w:before="0" w:beforeAutospacing="0" w:after="240" w:afterAutospacing="0"/>
        <w:rPr>
          <w:rFonts w:ascii="Arial" w:hAnsi="Arial" w:cs="Arial"/>
          <w:u w:val="single"/>
        </w:rPr>
      </w:pPr>
      <w:r w:rsidRPr="004F779C">
        <w:rPr>
          <w:rStyle w:val="eop"/>
          <w:rFonts w:ascii="Arial" w:eastAsiaTheme="majorEastAsia" w:hAnsi="Arial" w:cs="Arial"/>
          <w:b/>
          <w:bCs/>
          <w:u w:val="single"/>
        </w:rPr>
        <w:t>Example</w:t>
      </w:r>
      <w:r w:rsidR="00ED4416">
        <w:rPr>
          <w:rStyle w:val="eop"/>
          <w:rFonts w:ascii="Arial" w:eastAsiaTheme="majorEastAsia" w:hAnsi="Arial" w:cs="Arial"/>
          <w:b/>
          <w:bCs/>
          <w:u w:val="single"/>
        </w:rPr>
        <w:t xml:space="preserve"> </w:t>
      </w:r>
      <w:r w:rsidRPr="004F779C">
        <w:rPr>
          <w:rStyle w:val="eop"/>
          <w:rFonts w:ascii="Arial" w:eastAsiaTheme="majorEastAsia" w:hAnsi="Arial" w:cs="Arial"/>
          <w:b/>
          <w:bCs/>
          <w:u w:val="single"/>
        </w:rPr>
        <w:t>- Deficient County Anchor Groupings</w:t>
      </w:r>
    </w:p>
    <w:p w14:paraId="7E06BB1D" w14:textId="77777777" w:rsidR="00CD59FB" w:rsidRPr="004F779C" w:rsidRDefault="00CD59FB" w:rsidP="00CD59FB">
      <w:pPr>
        <w:pStyle w:val="ListParagraph"/>
        <w:spacing w:after="240" w:line="240" w:lineRule="auto"/>
        <w:contextualSpacing w:val="0"/>
        <w:textAlignment w:val="baseline"/>
        <w:rPr>
          <w:rFonts w:ascii="Arial" w:eastAsia="Times New Roman" w:hAnsi="Arial" w:cs="Arial"/>
          <w:sz w:val="24"/>
          <w:szCs w:val="24"/>
          <w:u w:val="single"/>
        </w:rPr>
      </w:pPr>
      <w:r w:rsidRPr="004F779C">
        <w:rPr>
          <w:rFonts w:ascii="Arial" w:eastAsia="Times New Roman" w:hAnsi="Arial" w:cs="Arial"/>
          <w:b/>
          <w:bCs/>
          <w:sz w:val="24"/>
          <w:szCs w:val="24"/>
          <w:u w:val="single"/>
        </w:rPr>
        <w:t>Table 1</w:t>
      </w:r>
      <w:r w:rsidRPr="004F779C">
        <w:rPr>
          <w:rFonts w:ascii="Arial" w:eastAsia="Times New Roman" w:hAnsi="Arial" w:cs="Arial"/>
          <w:sz w:val="24"/>
          <w:szCs w:val="24"/>
          <w:u w:val="single"/>
        </w:rPr>
        <w:t xml:space="preserve"> below presents an example calculation for a combined county measurement based on a deficient county anchor grouping.</w:t>
      </w:r>
    </w:p>
    <w:p w14:paraId="63453B26" w14:textId="48EF4F14" w:rsidR="00CD59FB" w:rsidRPr="004F779C" w:rsidRDefault="00CD59FB" w:rsidP="00CD59FB">
      <w:pPr>
        <w:pStyle w:val="paragraph"/>
        <w:spacing w:before="0" w:beforeAutospacing="0" w:after="240" w:afterAutospacing="0"/>
        <w:ind w:left="720"/>
        <w:textAlignment w:val="baseline"/>
        <w:rPr>
          <w:rStyle w:val="eop"/>
          <w:rFonts w:ascii="Arial" w:eastAsiaTheme="majorEastAsia" w:hAnsi="Arial" w:cs="Arial"/>
          <w:color w:val="000000"/>
          <w:u w:val="single"/>
          <w:shd w:val="clear" w:color="auto" w:fill="FFFFFF"/>
        </w:rPr>
      </w:pPr>
      <w:r w:rsidRPr="004F779C">
        <w:rPr>
          <w:rFonts w:ascii="Arial" w:hAnsi="Arial" w:cs="Arial"/>
          <w:u w:val="single"/>
        </w:rPr>
        <w:t xml:space="preserve">In this example, Colusa and Sutter are network service area counties, and Yolo is not in the network service area but has </w:t>
      </w:r>
      <w:r w:rsidR="00F5630F">
        <w:rPr>
          <w:rFonts w:ascii="Arial" w:hAnsi="Arial" w:cs="Arial"/>
          <w:u w:val="single"/>
        </w:rPr>
        <w:t>PCP</w:t>
      </w:r>
      <w:r w:rsidRPr="004F779C">
        <w:rPr>
          <w:rFonts w:ascii="Arial" w:hAnsi="Arial" w:cs="Arial"/>
          <w:u w:val="single"/>
        </w:rPr>
        <w:t xml:space="preserve"> locations within the network. As stated in the standards and methodology document, c</w:t>
      </w:r>
      <w:r w:rsidRPr="004F779C">
        <w:rPr>
          <w:rStyle w:val="normaltextrun"/>
          <w:rFonts w:ascii="Arial" w:eastAsiaTheme="majorEastAsia" w:hAnsi="Arial" w:cs="Arial"/>
          <w:color w:val="000000"/>
          <w:u w:val="single"/>
          <w:shd w:val="clear" w:color="auto" w:fill="FFFFFF"/>
        </w:rPr>
        <w:t xml:space="preserve">ounties that fall outside of the network service area may be combined with the </w:t>
      </w:r>
      <w:r w:rsidRPr="005D2DB7">
        <w:rPr>
          <w:rStyle w:val="normaltextrun"/>
          <w:rFonts w:ascii="Arial" w:eastAsiaTheme="majorEastAsia" w:hAnsi="Arial" w:cs="Arial"/>
          <w:color w:val="000000"/>
          <w:u w:val="single"/>
          <w:shd w:val="clear" w:color="auto" w:fill="FFFFFF"/>
        </w:rPr>
        <w:t xml:space="preserve">network service area </w:t>
      </w:r>
      <w:r w:rsidRPr="005D2DB7">
        <w:rPr>
          <w:rStyle w:val="advancedproofingissue"/>
          <w:rFonts w:ascii="Arial" w:eastAsiaTheme="majorEastAsia" w:hAnsi="Arial" w:cs="Arial"/>
          <w:color w:val="000000"/>
          <w:u w:val="single"/>
          <w:shd w:val="clear" w:color="auto" w:fill="FFFFFF"/>
        </w:rPr>
        <w:t>as long as</w:t>
      </w:r>
      <w:r w:rsidRPr="005D2DB7">
        <w:rPr>
          <w:rStyle w:val="normaltextrun"/>
          <w:rFonts w:ascii="Arial" w:eastAsiaTheme="majorEastAsia" w:hAnsi="Arial" w:cs="Arial"/>
          <w:color w:val="000000"/>
          <w:u w:val="single"/>
          <w:shd w:val="clear" w:color="auto" w:fill="FFFFFF"/>
        </w:rPr>
        <w:t xml:space="preserve"> the non-network service area county has more than </w:t>
      </w:r>
      <w:r w:rsidR="00101FD5" w:rsidRPr="005D2DB7">
        <w:rPr>
          <w:rStyle w:val="normaltextrun"/>
          <w:rFonts w:ascii="Arial" w:eastAsiaTheme="majorEastAsia" w:hAnsi="Arial" w:cs="Arial"/>
          <w:color w:val="000000"/>
          <w:u w:val="single"/>
          <w:shd w:val="clear" w:color="auto" w:fill="FFFFFF"/>
        </w:rPr>
        <w:t>75</w:t>
      </w:r>
      <w:r w:rsidRPr="005D2DB7">
        <w:rPr>
          <w:rStyle w:val="normaltextrun"/>
          <w:rFonts w:ascii="Arial" w:eastAsiaTheme="majorEastAsia" w:hAnsi="Arial" w:cs="Arial"/>
          <w:color w:val="000000"/>
          <w:u w:val="single"/>
          <w:shd w:val="clear" w:color="auto" w:fill="FFFFFF"/>
        </w:rPr>
        <w:t>%</w:t>
      </w:r>
      <w:r w:rsidRPr="004F779C">
        <w:rPr>
          <w:rStyle w:val="normaltextrun"/>
          <w:rFonts w:ascii="Arial" w:eastAsiaTheme="majorEastAsia" w:hAnsi="Arial" w:cs="Arial"/>
          <w:color w:val="000000"/>
          <w:u w:val="single"/>
          <w:shd w:val="clear" w:color="auto" w:fill="FFFFFF"/>
        </w:rPr>
        <w:t xml:space="preserve"> of </w:t>
      </w:r>
      <w:r w:rsidR="00F5630F">
        <w:rPr>
          <w:rStyle w:val="normaltextrun"/>
          <w:rFonts w:ascii="Arial" w:eastAsiaTheme="majorEastAsia" w:hAnsi="Arial" w:cs="Arial"/>
          <w:color w:val="000000"/>
          <w:u w:val="single"/>
          <w:shd w:val="clear" w:color="auto" w:fill="FFFFFF"/>
        </w:rPr>
        <w:t>PCP</w:t>
      </w:r>
      <w:r w:rsidRPr="004F779C">
        <w:rPr>
          <w:rStyle w:val="normaltextrun"/>
          <w:rFonts w:ascii="Arial" w:eastAsiaTheme="majorEastAsia" w:hAnsi="Arial" w:cs="Arial"/>
          <w:color w:val="000000"/>
          <w:u w:val="single"/>
          <w:shd w:val="clear" w:color="auto" w:fill="FFFFFF"/>
        </w:rPr>
        <w:t xml:space="preserve"> locations accepting new patients for this network.</w:t>
      </w:r>
    </w:p>
    <w:p w14:paraId="71FB0522" w14:textId="7D926A3A" w:rsidR="00CD59FB" w:rsidRPr="004F779C" w:rsidRDefault="00CD59FB" w:rsidP="00CD59FB">
      <w:pPr>
        <w:pStyle w:val="ListParagraph"/>
        <w:spacing w:after="240" w:line="240" w:lineRule="auto"/>
        <w:contextualSpacing w:val="0"/>
        <w:textAlignment w:val="baseline"/>
        <w:rPr>
          <w:rFonts w:ascii="Arial" w:eastAsia="Times New Roman" w:hAnsi="Arial" w:cs="Arial"/>
          <w:sz w:val="24"/>
          <w:szCs w:val="24"/>
          <w:u w:val="single"/>
        </w:rPr>
      </w:pPr>
      <w:r w:rsidRPr="004F779C">
        <w:rPr>
          <w:rFonts w:ascii="Arial" w:eastAsia="Times New Roman" w:hAnsi="Arial" w:cs="Arial"/>
          <w:sz w:val="24"/>
          <w:szCs w:val="24"/>
          <w:u w:val="single"/>
        </w:rPr>
        <w:t xml:space="preserve">Colusa is a Rural County that has no </w:t>
      </w:r>
      <w:r w:rsidR="00F5630F">
        <w:rPr>
          <w:rFonts w:ascii="Arial" w:eastAsia="Times New Roman" w:hAnsi="Arial" w:cs="Arial"/>
          <w:sz w:val="24"/>
          <w:szCs w:val="24"/>
          <w:u w:val="single"/>
        </w:rPr>
        <w:t>PCP</w:t>
      </w:r>
      <w:r w:rsidRPr="004F779C">
        <w:rPr>
          <w:rFonts w:ascii="Arial" w:eastAsia="Times New Roman" w:hAnsi="Arial" w:cs="Arial"/>
          <w:sz w:val="24"/>
          <w:szCs w:val="24"/>
          <w:u w:val="single"/>
        </w:rPr>
        <w:t xml:space="preserve"> locations reported for the network, so the value of 2 will be used as the expected number of </w:t>
      </w:r>
      <w:r w:rsidR="006775B4">
        <w:rPr>
          <w:rFonts w:ascii="Arial" w:eastAsia="Times New Roman" w:hAnsi="Arial" w:cs="Arial"/>
          <w:sz w:val="24"/>
          <w:szCs w:val="24"/>
          <w:u w:val="single"/>
        </w:rPr>
        <w:t>PCP</w:t>
      </w:r>
      <w:r w:rsidRPr="004F779C">
        <w:rPr>
          <w:rFonts w:ascii="Arial" w:eastAsia="Times New Roman" w:hAnsi="Arial" w:cs="Arial"/>
          <w:sz w:val="24"/>
          <w:szCs w:val="24"/>
          <w:u w:val="single"/>
        </w:rPr>
        <w:t xml:space="preserve"> locations. Sutter has 12 </w:t>
      </w:r>
      <w:r w:rsidR="006775B4">
        <w:rPr>
          <w:rFonts w:ascii="Arial" w:eastAsia="Times New Roman" w:hAnsi="Arial" w:cs="Arial"/>
          <w:sz w:val="24"/>
          <w:szCs w:val="24"/>
          <w:u w:val="single"/>
        </w:rPr>
        <w:t>PCP</w:t>
      </w:r>
      <w:r w:rsidRPr="004F779C">
        <w:rPr>
          <w:rFonts w:ascii="Arial" w:eastAsia="Times New Roman" w:hAnsi="Arial" w:cs="Arial"/>
          <w:sz w:val="24"/>
          <w:szCs w:val="24"/>
          <w:u w:val="single"/>
        </w:rPr>
        <w:t xml:space="preserve"> locations reported for the network, and the individual county </w:t>
      </w:r>
      <w:r w:rsidR="006775B4">
        <w:rPr>
          <w:rFonts w:ascii="Arial" w:eastAsia="Times New Roman" w:hAnsi="Arial" w:cs="Arial"/>
          <w:sz w:val="24"/>
          <w:szCs w:val="24"/>
          <w:u w:val="single"/>
        </w:rPr>
        <w:t>PCP</w:t>
      </w:r>
      <w:r w:rsidRPr="004F779C">
        <w:rPr>
          <w:rFonts w:ascii="Arial" w:eastAsia="Times New Roman" w:hAnsi="Arial" w:cs="Arial"/>
          <w:sz w:val="24"/>
          <w:szCs w:val="24"/>
          <w:u w:val="single"/>
        </w:rPr>
        <w:t xml:space="preserve"> location rate is 86%. The individual county </w:t>
      </w:r>
      <w:r w:rsidR="006775B4">
        <w:rPr>
          <w:rFonts w:ascii="Arial" w:eastAsia="Times New Roman" w:hAnsi="Arial" w:cs="Arial"/>
          <w:sz w:val="24"/>
          <w:szCs w:val="24"/>
          <w:u w:val="single"/>
        </w:rPr>
        <w:t>PCP</w:t>
      </w:r>
      <w:r w:rsidRPr="004F779C">
        <w:rPr>
          <w:rFonts w:ascii="Arial" w:eastAsia="Times New Roman" w:hAnsi="Arial" w:cs="Arial"/>
          <w:sz w:val="24"/>
          <w:szCs w:val="24"/>
          <w:u w:val="single"/>
        </w:rPr>
        <w:t xml:space="preserve"> location rate for Yolo County is 90%. The Sutter and Yolo County </w:t>
      </w:r>
      <w:r w:rsidR="006775B4">
        <w:rPr>
          <w:rFonts w:ascii="Arial" w:eastAsia="Times New Roman" w:hAnsi="Arial" w:cs="Arial"/>
          <w:sz w:val="24"/>
          <w:szCs w:val="24"/>
          <w:u w:val="single"/>
        </w:rPr>
        <w:t>PCP</w:t>
      </w:r>
      <w:r w:rsidRPr="004F779C">
        <w:rPr>
          <w:rFonts w:ascii="Arial" w:eastAsia="Times New Roman" w:hAnsi="Arial" w:cs="Arial"/>
          <w:sz w:val="24"/>
          <w:szCs w:val="24"/>
          <w:u w:val="single"/>
        </w:rPr>
        <w:t xml:space="preserve"> locations will be combined with </w:t>
      </w:r>
      <w:r w:rsidR="000E5B8F" w:rsidRPr="004F779C">
        <w:rPr>
          <w:rFonts w:ascii="Arial" w:eastAsia="Times New Roman" w:hAnsi="Arial" w:cs="Arial"/>
          <w:sz w:val="24"/>
          <w:szCs w:val="24"/>
          <w:u w:val="single"/>
        </w:rPr>
        <w:t>Colusa County</w:t>
      </w:r>
      <w:r w:rsidRPr="004F779C">
        <w:rPr>
          <w:rFonts w:ascii="Arial" w:eastAsia="Times New Roman" w:hAnsi="Arial" w:cs="Arial"/>
          <w:sz w:val="24"/>
          <w:szCs w:val="24"/>
          <w:u w:val="single"/>
        </w:rPr>
        <w:t xml:space="preserve">. In this example, the combined </w:t>
      </w:r>
      <w:r w:rsidR="006775B4">
        <w:rPr>
          <w:rFonts w:ascii="Arial" w:eastAsia="Times New Roman" w:hAnsi="Arial" w:cs="Arial"/>
          <w:sz w:val="24"/>
          <w:szCs w:val="24"/>
          <w:u w:val="single"/>
        </w:rPr>
        <w:t>PCP</w:t>
      </w:r>
      <w:r w:rsidRPr="004F779C">
        <w:rPr>
          <w:rFonts w:ascii="Arial" w:eastAsia="Times New Roman" w:hAnsi="Arial" w:cs="Arial"/>
          <w:sz w:val="24"/>
          <w:szCs w:val="24"/>
          <w:u w:val="single"/>
        </w:rPr>
        <w:t xml:space="preserve"> location rate for the three counties equals 81%.</w:t>
      </w:r>
    </w:p>
    <w:p w14:paraId="4600CB82" w14:textId="77777777" w:rsidR="00CD59FB" w:rsidRPr="004F779C" w:rsidRDefault="00CD59FB" w:rsidP="00CD59FB">
      <w:pPr>
        <w:pStyle w:val="ListParagraph"/>
        <w:keepNext/>
        <w:keepLines/>
        <w:spacing w:after="240" w:line="240" w:lineRule="auto"/>
        <w:contextualSpacing w:val="0"/>
        <w:jc w:val="center"/>
        <w:textAlignment w:val="baseline"/>
        <w:rPr>
          <w:rFonts w:ascii="Arial" w:eastAsia="Times New Roman" w:hAnsi="Arial" w:cs="Arial"/>
          <w:b/>
          <w:bCs/>
          <w:sz w:val="24"/>
          <w:szCs w:val="24"/>
          <w:u w:val="single"/>
        </w:rPr>
      </w:pPr>
      <w:r w:rsidRPr="004F779C">
        <w:rPr>
          <w:rFonts w:ascii="Arial" w:eastAsia="Times New Roman" w:hAnsi="Arial" w:cs="Arial"/>
          <w:b/>
          <w:bCs/>
          <w:sz w:val="24"/>
          <w:szCs w:val="24"/>
          <w:u w:val="single"/>
        </w:rPr>
        <w:lastRenderedPageBreak/>
        <w:t>Table 1:</w:t>
      </w:r>
      <w:r w:rsidRPr="004F779C">
        <w:rPr>
          <w:rFonts w:ascii="Arial" w:hAnsi="Arial" w:cs="Arial"/>
          <w:b/>
          <w:bCs/>
          <w:sz w:val="24"/>
          <w:szCs w:val="24"/>
          <w:u w:val="single"/>
        </w:rPr>
        <w:t xml:space="preserve"> Example Combined County Calculation for a Deficient County Anchor Grouping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25"/>
        <w:gridCol w:w="1711"/>
        <w:gridCol w:w="1712"/>
        <w:gridCol w:w="1712"/>
      </w:tblGrid>
      <w:tr w:rsidR="00CD59FB" w:rsidRPr="004F779C" w14:paraId="494F56B8" w14:textId="77777777" w:rsidTr="00693C2A">
        <w:trPr>
          <w:trHeight w:val="647"/>
        </w:trPr>
        <w:tc>
          <w:tcPr>
            <w:tcW w:w="4225" w:type="dxa"/>
            <w:shd w:val="clear" w:color="auto" w:fill="035530"/>
            <w:vAlign w:val="center"/>
            <w:hideMark/>
          </w:tcPr>
          <w:p w14:paraId="278C1245" w14:textId="77777777" w:rsidR="00CD59FB" w:rsidRPr="004F779C" w:rsidRDefault="00CD59FB" w:rsidP="00693C2A">
            <w:pPr>
              <w:keepNext/>
              <w:keepLines/>
              <w:spacing w:after="0" w:line="240" w:lineRule="auto"/>
              <w:jc w:val="center"/>
              <w:textAlignment w:val="baseline"/>
              <w:rPr>
                <w:rFonts w:ascii="Arial" w:eastAsia="Times New Roman" w:hAnsi="Arial" w:cs="Arial"/>
                <w:kern w:val="0"/>
                <w:sz w:val="24"/>
                <w:szCs w:val="24"/>
                <w:u w:val="single"/>
                <w14:ligatures w14:val="none"/>
              </w:rPr>
            </w:pPr>
          </w:p>
        </w:tc>
        <w:tc>
          <w:tcPr>
            <w:tcW w:w="1711" w:type="dxa"/>
            <w:shd w:val="clear" w:color="auto" w:fill="035530"/>
            <w:vAlign w:val="center"/>
            <w:hideMark/>
          </w:tcPr>
          <w:p w14:paraId="43A5A4F4" w14:textId="77777777" w:rsidR="00CD59FB" w:rsidRPr="00CC46EF" w:rsidRDefault="00CD59FB" w:rsidP="00693C2A">
            <w:pPr>
              <w:keepNext/>
              <w:keepLines/>
              <w:spacing w:after="0" w:line="240" w:lineRule="auto"/>
              <w:jc w:val="center"/>
              <w:textAlignment w:val="baseline"/>
              <w:rPr>
                <w:rFonts w:ascii="Arial" w:eastAsia="Times New Roman" w:hAnsi="Arial" w:cs="Arial"/>
                <w:kern w:val="0"/>
                <w:sz w:val="24"/>
                <w:szCs w:val="24"/>
                <w:u w:val="single"/>
                <w14:ligatures w14:val="none"/>
              </w:rPr>
            </w:pPr>
            <w:r w:rsidRPr="00CC46EF">
              <w:rPr>
                <w:rFonts w:ascii="Arial" w:eastAsia="Times New Roman" w:hAnsi="Arial" w:cs="Arial"/>
                <w:b/>
                <w:bCs/>
                <w:color w:val="FFFFFF"/>
                <w:kern w:val="0"/>
                <w:sz w:val="24"/>
                <w:szCs w:val="24"/>
                <w:u w:val="single"/>
                <w14:ligatures w14:val="none"/>
              </w:rPr>
              <w:t>Colusa (Rural County)</w:t>
            </w:r>
          </w:p>
        </w:tc>
        <w:tc>
          <w:tcPr>
            <w:tcW w:w="1712" w:type="dxa"/>
            <w:shd w:val="clear" w:color="auto" w:fill="035530"/>
            <w:vAlign w:val="center"/>
            <w:hideMark/>
          </w:tcPr>
          <w:p w14:paraId="44B5EDD8" w14:textId="77777777" w:rsidR="00CD59FB" w:rsidRPr="00CC46EF" w:rsidRDefault="00CD59FB" w:rsidP="00693C2A">
            <w:pPr>
              <w:keepNext/>
              <w:keepLines/>
              <w:spacing w:after="0" w:line="240" w:lineRule="auto"/>
              <w:jc w:val="center"/>
              <w:textAlignment w:val="baseline"/>
              <w:rPr>
                <w:rFonts w:ascii="Arial" w:eastAsia="Times New Roman" w:hAnsi="Arial" w:cs="Arial"/>
                <w:kern w:val="0"/>
                <w:sz w:val="24"/>
                <w:szCs w:val="24"/>
                <w:u w:val="single"/>
                <w14:ligatures w14:val="none"/>
              </w:rPr>
            </w:pPr>
            <w:r w:rsidRPr="00CC46EF">
              <w:rPr>
                <w:rFonts w:ascii="Arial" w:eastAsia="Times New Roman" w:hAnsi="Arial" w:cs="Arial"/>
                <w:b/>
                <w:bCs/>
                <w:color w:val="FFFFFF"/>
                <w:kern w:val="0"/>
                <w:sz w:val="24"/>
                <w:szCs w:val="24"/>
                <w:u w:val="single"/>
                <w14:ligatures w14:val="none"/>
              </w:rPr>
              <w:t>Sutter</w:t>
            </w:r>
          </w:p>
        </w:tc>
        <w:tc>
          <w:tcPr>
            <w:tcW w:w="1712" w:type="dxa"/>
            <w:shd w:val="clear" w:color="auto" w:fill="035530"/>
            <w:vAlign w:val="center"/>
            <w:hideMark/>
          </w:tcPr>
          <w:p w14:paraId="12726312" w14:textId="77777777" w:rsidR="00CD59FB" w:rsidRPr="00CC46EF" w:rsidRDefault="00CD59FB" w:rsidP="00693C2A">
            <w:pPr>
              <w:keepNext/>
              <w:keepLines/>
              <w:spacing w:after="0" w:line="240" w:lineRule="auto"/>
              <w:jc w:val="center"/>
              <w:textAlignment w:val="baseline"/>
              <w:rPr>
                <w:rFonts w:ascii="Arial" w:eastAsia="Times New Roman" w:hAnsi="Arial" w:cs="Arial"/>
                <w:kern w:val="0"/>
                <w:sz w:val="24"/>
                <w:szCs w:val="24"/>
                <w:u w:val="single"/>
                <w14:ligatures w14:val="none"/>
              </w:rPr>
            </w:pPr>
            <w:r w:rsidRPr="00CC46EF">
              <w:rPr>
                <w:rFonts w:ascii="Arial" w:eastAsia="Times New Roman" w:hAnsi="Arial" w:cs="Arial"/>
                <w:b/>
                <w:bCs/>
                <w:color w:val="FFFFFF"/>
                <w:kern w:val="0"/>
                <w:sz w:val="24"/>
                <w:szCs w:val="24"/>
                <w:u w:val="single"/>
                <w14:ligatures w14:val="none"/>
              </w:rPr>
              <w:t>Yolo</w:t>
            </w:r>
          </w:p>
        </w:tc>
      </w:tr>
      <w:tr w:rsidR="00CD59FB" w:rsidRPr="004F779C" w14:paraId="7F4E0D90" w14:textId="77777777" w:rsidTr="00746300">
        <w:trPr>
          <w:trHeight w:val="936"/>
        </w:trPr>
        <w:tc>
          <w:tcPr>
            <w:tcW w:w="4225" w:type="dxa"/>
            <w:shd w:val="clear" w:color="auto" w:fill="auto"/>
            <w:vAlign w:val="center"/>
            <w:hideMark/>
          </w:tcPr>
          <w:p w14:paraId="03BEBEFE" w14:textId="77777777" w:rsidR="00CD59FB" w:rsidRPr="004F779C" w:rsidRDefault="00CD59FB" w:rsidP="00693C2A">
            <w:pPr>
              <w:keepNext/>
              <w:keepLines/>
              <w:spacing w:after="0" w:line="240" w:lineRule="auto"/>
              <w:jc w:val="center"/>
              <w:textAlignment w:val="baseline"/>
              <w:rPr>
                <w:rFonts w:ascii="Arial" w:eastAsia="Times New Roman" w:hAnsi="Arial" w:cs="Arial"/>
                <w:kern w:val="0"/>
                <w:sz w:val="24"/>
                <w:szCs w:val="24"/>
                <w:u w:val="single"/>
                <w14:ligatures w14:val="none"/>
              </w:rPr>
            </w:pPr>
            <w:r w:rsidRPr="004F779C">
              <w:rPr>
                <w:rFonts w:ascii="Arial" w:eastAsia="Times New Roman" w:hAnsi="Arial" w:cs="Arial"/>
                <w:kern w:val="0"/>
                <w:sz w:val="24"/>
                <w:szCs w:val="24"/>
                <w:u w:val="single"/>
                <w14:ligatures w14:val="none"/>
              </w:rPr>
              <w:t>Network Service Area County</w:t>
            </w:r>
          </w:p>
        </w:tc>
        <w:tc>
          <w:tcPr>
            <w:tcW w:w="1711" w:type="dxa"/>
            <w:shd w:val="clear" w:color="auto" w:fill="auto"/>
            <w:vAlign w:val="center"/>
            <w:hideMark/>
          </w:tcPr>
          <w:p w14:paraId="47B1CA33" w14:textId="77777777" w:rsidR="00CD59FB" w:rsidRPr="00CC46EF" w:rsidRDefault="00CD59FB" w:rsidP="00693C2A">
            <w:pPr>
              <w:keepNext/>
              <w:keepLines/>
              <w:spacing w:after="0" w:line="240" w:lineRule="auto"/>
              <w:jc w:val="center"/>
              <w:textAlignment w:val="baseline"/>
              <w:rPr>
                <w:rFonts w:ascii="Arial" w:eastAsia="Times New Roman" w:hAnsi="Arial" w:cs="Arial"/>
                <w:kern w:val="0"/>
                <w:sz w:val="24"/>
                <w:szCs w:val="24"/>
                <w:u w:val="single"/>
                <w14:ligatures w14:val="none"/>
              </w:rPr>
            </w:pPr>
            <w:r w:rsidRPr="00CC46EF">
              <w:rPr>
                <w:rFonts w:ascii="Arial" w:eastAsia="Times New Roman" w:hAnsi="Arial" w:cs="Arial"/>
                <w:kern w:val="0"/>
                <w:sz w:val="24"/>
                <w:szCs w:val="24"/>
                <w:u w:val="single"/>
                <w14:ligatures w14:val="none"/>
              </w:rPr>
              <w:t>Yes</w:t>
            </w:r>
          </w:p>
        </w:tc>
        <w:tc>
          <w:tcPr>
            <w:tcW w:w="1712" w:type="dxa"/>
            <w:shd w:val="clear" w:color="auto" w:fill="auto"/>
            <w:vAlign w:val="center"/>
            <w:hideMark/>
          </w:tcPr>
          <w:p w14:paraId="0AA6DBA6" w14:textId="77777777" w:rsidR="00CD59FB" w:rsidRPr="00CC46EF" w:rsidRDefault="00CD59FB" w:rsidP="00693C2A">
            <w:pPr>
              <w:keepNext/>
              <w:keepLines/>
              <w:spacing w:after="0" w:line="240" w:lineRule="auto"/>
              <w:jc w:val="center"/>
              <w:textAlignment w:val="baseline"/>
              <w:rPr>
                <w:rFonts w:ascii="Arial" w:eastAsia="Times New Roman" w:hAnsi="Arial" w:cs="Arial"/>
                <w:kern w:val="0"/>
                <w:sz w:val="24"/>
                <w:szCs w:val="24"/>
                <w:u w:val="single"/>
                <w14:ligatures w14:val="none"/>
              </w:rPr>
            </w:pPr>
            <w:r w:rsidRPr="00CC46EF">
              <w:rPr>
                <w:rFonts w:ascii="Arial" w:eastAsia="Times New Roman" w:hAnsi="Arial" w:cs="Arial"/>
                <w:kern w:val="0"/>
                <w:sz w:val="24"/>
                <w:szCs w:val="24"/>
                <w:u w:val="single"/>
                <w14:ligatures w14:val="none"/>
              </w:rPr>
              <w:t>Yes</w:t>
            </w:r>
          </w:p>
        </w:tc>
        <w:tc>
          <w:tcPr>
            <w:tcW w:w="1712" w:type="dxa"/>
            <w:shd w:val="clear" w:color="auto" w:fill="auto"/>
            <w:vAlign w:val="center"/>
            <w:hideMark/>
          </w:tcPr>
          <w:p w14:paraId="3E452FF8" w14:textId="77777777" w:rsidR="00CD59FB" w:rsidRPr="00CC46EF" w:rsidRDefault="00CD59FB" w:rsidP="00693C2A">
            <w:pPr>
              <w:keepNext/>
              <w:keepLines/>
              <w:spacing w:after="0" w:line="240" w:lineRule="auto"/>
              <w:jc w:val="center"/>
              <w:textAlignment w:val="baseline"/>
              <w:rPr>
                <w:rFonts w:ascii="Arial" w:eastAsia="Times New Roman" w:hAnsi="Arial" w:cs="Arial"/>
                <w:kern w:val="0"/>
                <w:sz w:val="24"/>
                <w:szCs w:val="24"/>
                <w:u w:val="single"/>
                <w14:ligatures w14:val="none"/>
              </w:rPr>
            </w:pPr>
            <w:r w:rsidRPr="00CC46EF">
              <w:rPr>
                <w:rFonts w:ascii="Arial" w:eastAsia="Times New Roman" w:hAnsi="Arial" w:cs="Arial"/>
                <w:kern w:val="0"/>
                <w:sz w:val="24"/>
                <w:szCs w:val="24"/>
                <w:u w:val="single"/>
                <w14:ligatures w14:val="none"/>
              </w:rPr>
              <w:t>No</w:t>
            </w:r>
          </w:p>
        </w:tc>
      </w:tr>
      <w:tr w:rsidR="00CD59FB" w:rsidRPr="004F779C" w14:paraId="6E94C30D" w14:textId="77777777" w:rsidTr="009F648C">
        <w:trPr>
          <w:trHeight w:val="936"/>
        </w:trPr>
        <w:tc>
          <w:tcPr>
            <w:tcW w:w="4225" w:type="dxa"/>
            <w:shd w:val="clear" w:color="auto" w:fill="auto"/>
            <w:vAlign w:val="center"/>
            <w:hideMark/>
          </w:tcPr>
          <w:p w14:paraId="706B50A9" w14:textId="70FA103A" w:rsidR="00CD59FB" w:rsidRPr="004F779C" w:rsidRDefault="006775B4" w:rsidP="00693C2A">
            <w:pPr>
              <w:keepNext/>
              <w:keepLines/>
              <w:spacing w:after="0" w:line="240" w:lineRule="auto"/>
              <w:jc w:val="center"/>
              <w:textAlignment w:val="baseline"/>
              <w:rPr>
                <w:rFonts w:ascii="Arial" w:eastAsia="Times New Roman" w:hAnsi="Arial" w:cs="Arial"/>
                <w:kern w:val="0"/>
                <w:sz w:val="24"/>
                <w:szCs w:val="24"/>
                <w:u w:val="single"/>
                <w14:ligatures w14:val="none"/>
              </w:rPr>
            </w:pPr>
            <w:r>
              <w:rPr>
                <w:rFonts w:ascii="Arial" w:eastAsia="Times New Roman" w:hAnsi="Arial" w:cs="Arial"/>
                <w:kern w:val="0"/>
                <w:sz w:val="24"/>
                <w:szCs w:val="24"/>
                <w:u w:val="single"/>
                <w14:ligatures w14:val="none"/>
              </w:rPr>
              <w:t xml:space="preserve">PCP </w:t>
            </w:r>
            <w:r w:rsidR="00161FC8">
              <w:rPr>
                <w:rFonts w:ascii="Arial" w:eastAsia="Times New Roman" w:hAnsi="Arial" w:cs="Arial"/>
                <w:kern w:val="0"/>
                <w:sz w:val="24"/>
                <w:szCs w:val="24"/>
                <w:u w:val="single"/>
                <w14:ligatures w14:val="none"/>
              </w:rPr>
              <w:t>L</w:t>
            </w:r>
            <w:r w:rsidR="00CD59FB" w:rsidRPr="004F779C">
              <w:rPr>
                <w:rFonts w:ascii="Arial" w:eastAsia="Times New Roman" w:hAnsi="Arial" w:cs="Arial"/>
                <w:kern w:val="0"/>
                <w:sz w:val="24"/>
                <w:szCs w:val="24"/>
                <w:u w:val="single"/>
                <w14:ligatures w14:val="none"/>
              </w:rPr>
              <w:t xml:space="preserve">ocations (or expected </w:t>
            </w:r>
            <w:r>
              <w:rPr>
                <w:rFonts w:ascii="Arial" w:eastAsia="Times New Roman" w:hAnsi="Arial" w:cs="Arial"/>
                <w:kern w:val="0"/>
                <w:sz w:val="24"/>
                <w:szCs w:val="24"/>
                <w:u w:val="single"/>
                <w14:ligatures w14:val="none"/>
              </w:rPr>
              <w:t>PCP</w:t>
            </w:r>
            <w:r w:rsidR="00CD59FB" w:rsidRPr="004F779C">
              <w:rPr>
                <w:rFonts w:ascii="Arial" w:eastAsia="Times New Roman" w:hAnsi="Arial" w:cs="Arial"/>
                <w:kern w:val="0"/>
                <w:sz w:val="24"/>
                <w:szCs w:val="24"/>
                <w:u w:val="single"/>
                <w14:ligatures w14:val="none"/>
              </w:rPr>
              <w:t xml:space="preserve"> </w:t>
            </w:r>
            <w:r w:rsidR="00161FC8">
              <w:rPr>
                <w:rFonts w:ascii="Arial" w:eastAsia="Times New Roman" w:hAnsi="Arial" w:cs="Arial"/>
                <w:kern w:val="0"/>
                <w:sz w:val="24"/>
                <w:szCs w:val="24"/>
                <w:u w:val="single"/>
                <w14:ligatures w14:val="none"/>
              </w:rPr>
              <w:t>L</w:t>
            </w:r>
            <w:r w:rsidR="00CD59FB" w:rsidRPr="004F779C">
              <w:rPr>
                <w:rFonts w:ascii="Arial" w:eastAsia="Times New Roman" w:hAnsi="Arial" w:cs="Arial"/>
                <w:kern w:val="0"/>
                <w:sz w:val="24"/>
                <w:szCs w:val="24"/>
                <w:u w:val="single"/>
                <w14:ligatures w14:val="none"/>
              </w:rPr>
              <w:t>ocations if CEAC/</w:t>
            </w:r>
            <w:r w:rsidR="000E5B8F" w:rsidRPr="004F779C">
              <w:rPr>
                <w:rFonts w:ascii="Arial" w:eastAsia="Times New Roman" w:hAnsi="Arial" w:cs="Arial"/>
                <w:kern w:val="0"/>
                <w:sz w:val="24"/>
                <w:szCs w:val="24"/>
                <w:u w:val="single"/>
                <w14:ligatures w14:val="none"/>
              </w:rPr>
              <w:t>Rural County</w:t>
            </w:r>
            <w:r w:rsidR="00CD59FB" w:rsidRPr="004F779C">
              <w:rPr>
                <w:rFonts w:ascii="Arial" w:eastAsia="Times New Roman" w:hAnsi="Arial" w:cs="Arial"/>
                <w:kern w:val="0"/>
                <w:sz w:val="24"/>
                <w:szCs w:val="24"/>
                <w:u w:val="single"/>
                <w14:ligatures w14:val="none"/>
              </w:rPr>
              <w:t xml:space="preserve"> has </w:t>
            </w:r>
            <w:r w:rsidR="00161FC8">
              <w:rPr>
                <w:rFonts w:ascii="Arial" w:eastAsia="Times New Roman" w:hAnsi="Arial" w:cs="Arial"/>
                <w:kern w:val="0"/>
                <w:sz w:val="24"/>
                <w:szCs w:val="24"/>
                <w:u w:val="single"/>
                <w14:ligatures w14:val="none"/>
              </w:rPr>
              <w:t>z</w:t>
            </w:r>
            <w:r w:rsidR="00CD59FB" w:rsidRPr="004F779C">
              <w:rPr>
                <w:rFonts w:ascii="Arial" w:eastAsia="Times New Roman" w:hAnsi="Arial" w:cs="Arial"/>
                <w:kern w:val="0"/>
                <w:sz w:val="24"/>
                <w:szCs w:val="24"/>
                <w:u w:val="single"/>
                <w14:ligatures w14:val="none"/>
              </w:rPr>
              <w:t xml:space="preserve">ero </w:t>
            </w:r>
            <w:r w:rsidR="0033341D">
              <w:rPr>
                <w:rFonts w:ascii="Arial" w:eastAsia="Times New Roman" w:hAnsi="Arial" w:cs="Arial"/>
                <w:kern w:val="0"/>
                <w:sz w:val="24"/>
                <w:szCs w:val="24"/>
                <w:u w:val="single"/>
                <w14:ligatures w14:val="none"/>
              </w:rPr>
              <w:t>PCP</w:t>
            </w:r>
            <w:r w:rsidR="00CD59FB" w:rsidRPr="004F779C">
              <w:rPr>
                <w:rFonts w:ascii="Arial" w:eastAsia="Times New Roman" w:hAnsi="Arial" w:cs="Arial"/>
                <w:kern w:val="0"/>
                <w:sz w:val="24"/>
                <w:szCs w:val="24"/>
                <w:u w:val="single"/>
                <w14:ligatures w14:val="none"/>
              </w:rPr>
              <w:t xml:space="preserve"> </w:t>
            </w:r>
            <w:r w:rsidR="00161FC8">
              <w:rPr>
                <w:rFonts w:ascii="Arial" w:eastAsia="Times New Roman" w:hAnsi="Arial" w:cs="Arial"/>
                <w:kern w:val="0"/>
                <w:sz w:val="24"/>
                <w:szCs w:val="24"/>
                <w:u w:val="single"/>
                <w14:ligatures w14:val="none"/>
              </w:rPr>
              <w:t>L</w:t>
            </w:r>
            <w:r w:rsidR="00CD59FB" w:rsidRPr="004F779C">
              <w:rPr>
                <w:rFonts w:ascii="Arial" w:eastAsia="Times New Roman" w:hAnsi="Arial" w:cs="Arial"/>
                <w:kern w:val="0"/>
                <w:sz w:val="24"/>
                <w:szCs w:val="24"/>
                <w:u w:val="single"/>
                <w14:ligatures w14:val="none"/>
              </w:rPr>
              <w:t>ocations)</w:t>
            </w:r>
          </w:p>
        </w:tc>
        <w:tc>
          <w:tcPr>
            <w:tcW w:w="1711" w:type="dxa"/>
            <w:shd w:val="clear" w:color="auto" w:fill="auto"/>
            <w:vAlign w:val="center"/>
            <w:hideMark/>
          </w:tcPr>
          <w:p w14:paraId="60024D44" w14:textId="77777777" w:rsidR="00CD59FB" w:rsidRPr="00CC46EF" w:rsidRDefault="00CD59FB" w:rsidP="00693C2A">
            <w:pPr>
              <w:keepNext/>
              <w:keepLines/>
              <w:spacing w:after="0" w:line="240" w:lineRule="auto"/>
              <w:jc w:val="center"/>
              <w:textAlignment w:val="baseline"/>
              <w:rPr>
                <w:rFonts w:ascii="Arial" w:eastAsia="Times New Roman" w:hAnsi="Arial" w:cs="Arial"/>
                <w:kern w:val="0"/>
                <w:sz w:val="24"/>
                <w:szCs w:val="24"/>
                <w:u w:val="single"/>
                <w14:ligatures w14:val="none"/>
              </w:rPr>
            </w:pPr>
            <w:r w:rsidRPr="00CC46EF">
              <w:rPr>
                <w:rFonts w:ascii="Arial" w:eastAsia="Times New Roman" w:hAnsi="Arial" w:cs="Arial"/>
                <w:kern w:val="0"/>
                <w:sz w:val="24"/>
                <w:szCs w:val="24"/>
                <w:u w:val="single"/>
                <w14:ligatures w14:val="none"/>
              </w:rPr>
              <w:t>0 (2)</w:t>
            </w:r>
          </w:p>
        </w:tc>
        <w:tc>
          <w:tcPr>
            <w:tcW w:w="1712" w:type="dxa"/>
            <w:shd w:val="clear" w:color="auto" w:fill="auto"/>
            <w:vAlign w:val="center"/>
            <w:hideMark/>
          </w:tcPr>
          <w:p w14:paraId="535B1CDE" w14:textId="77777777" w:rsidR="00CD59FB" w:rsidRPr="00CC46EF" w:rsidRDefault="00CD59FB" w:rsidP="00693C2A">
            <w:pPr>
              <w:keepNext/>
              <w:keepLines/>
              <w:spacing w:after="0" w:line="240" w:lineRule="auto"/>
              <w:jc w:val="center"/>
              <w:textAlignment w:val="baseline"/>
              <w:rPr>
                <w:rFonts w:ascii="Arial" w:eastAsia="Times New Roman" w:hAnsi="Arial" w:cs="Arial"/>
                <w:kern w:val="0"/>
                <w:sz w:val="24"/>
                <w:szCs w:val="24"/>
                <w:u w:val="single"/>
                <w14:ligatures w14:val="none"/>
              </w:rPr>
            </w:pPr>
            <w:r w:rsidRPr="00CC46EF">
              <w:rPr>
                <w:rFonts w:ascii="Arial" w:eastAsia="Times New Roman" w:hAnsi="Arial" w:cs="Arial"/>
                <w:kern w:val="0"/>
                <w:sz w:val="24"/>
                <w:szCs w:val="24"/>
                <w:u w:val="single"/>
                <w14:ligatures w14:val="none"/>
              </w:rPr>
              <w:t>14</w:t>
            </w:r>
          </w:p>
        </w:tc>
        <w:tc>
          <w:tcPr>
            <w:tcW w:w="1712" w:type="dxa"/>
            <w:shd w:val="clear" w:color="auto" w:fill="auto"/>
            <w:vAlign w:val="center"/>
            <w:hideMark/>
          </w:tcPr>
          <w:p w14:paraId="696F5174" w14:textId="77777777" w:rsidR="00CD59FB" w:rsidRPr="00CC46EF" w:rsidRDefault="00CD59FB" w:rsidP="00693C2A">
            <w:pPr>
              <w:keepNext/>
              <w:keepLines/>
              <w:spacing w:after="0" w:line="240" w:lineRule="auto"/>
              <w:jc w:val="center"/>
              <w:textAlignment w:val="baseline"/>
              <w:rPr>
                <w:rFonts w:ascii="Arial" w:eastAsia="Times New Roman" w:hAnsi="Arial" w:cs="Arial"/>
                <w:kern w:val="0"/>
                <w:sz w:val="24"/>
                <w:szCs w:val="24"/>
                <w:u w:val="single"/>
                <w14:ligatures w14:val="none"/>
              </w:rPr>
            </w:pPr>
            <w:r w:rsidRPr="00CC46EF">
              <w:rPr>
                <w:rFonts w:ascii="Arial" w:eastAsia="Times New Roman" w:hAnsi="Arial" w:cs="Arial"/>
                <w:kern w:val="0"/>
                <w:sz w:val="24"/>
                <w:szCs w:val="24"/>
                <w:u w:val="single"/>
                <w14:ligatures w14:val="none"/>
              </w:rPr>
              <w:t>10</w:t>
            </w:r>
          </w:p>
        </w:tc>
      </w:tr>
      <w:tr w:rsidR="00CD59FB" w:rsidRPr="004F779C" w14:paraId="704A4D38" w14:textId="77777777" w:rsidTr="00746300">
        <w:trPr>
          <w:trHeight w:val="936"/>
        </w:trPr>
        <w:tc>
          <w:tcPr>
            <w:tcW w:w="4225" w:type="dxa"/>
            <w:shd w:val="clear" w:color="auto" w:fill="auto"/>
            <w:vAlign w:val="center"/>
            <w:hideMark/>
          </w:tcPr>
          <w:p w14:paraId="5C0BC9D9" w14:textId="2E3F1892" w:rsidR="00CD59FB" w:rsidRPr="004F779C" w:rsidRDefault="006775B4" w:rsidP="00693C2A">
            <w:pPr>
              <w:keepNext/>
              <w:keepLines/>
              <w:spacing w:after="0" w:line="240" w:lineRule="auto"/>
              <w:jc w:val="center"/>
              <w:textAlignment w:val="baseline"/>
              <w:rPr>
                <w:rFonts w:ascii="Arial" w:eastAsia="Times New Roman" w:hAnsi="Arial" w:cs="Arial"/>
                <w:kern w:val="0"/>
                <w:sz w:val="24"/>
                <w:szCs w:val="24"/>
                <w:u w:val="single"/>
                <w14:ligatures w14:val="none"/>
              </w:rPr>
            </w:pPr>
            <w:r>
              <w:rPr>
                <w:rFonts w:ascii="Arial" w:eastAsia="Times New Roman" w:hAnsi="Arial" w:cs="Arial"/>
                <w:kern w:val="0"/>
                <w:sz w:val="24"/>
                <w:szCs w:val="24"/>
                <w:u w:val="single"/>
                <w14:ligatures w14:val="none"/>
              </w:rPr>
              <w:t>PCP</w:t>
            </w:r>
            <w:r w:rsidR="00CD59FB" w:rsidRPr="004F779C">
              <w:rPr>
                <w:rFonts w:ascii="Arial" w:eastAsia="Times New Roman" w:hAnsi="Arial" w:cs="Arial"/>
                <w:kern w:val="0"/>
                <w:sz w:val="24"/>
                <w:szCs w:val="24"/>
                <w:u w:val="single"/>
                <w14:ligatures w14:val="none"/>
              </w:rPr>
              <w:t xml:space="preserve"> Locations that are Accepting New Patients</w:t>
            </w:r>
          </w:p>
        </w:tc>
        <w:tc>
          <w:tcPr>
            <w:tcW w:w="1711" w:type="dxa"/>
            <w:shd w:val="clear" w:color="auto" w:fill="auto"/>
            <w:vAlign w:val="center"/>
            <w:hideMark/>
          </w:tcPr>
          <w:p w14:paraId="4B4B7B0C" w14:textId="77777777" w:rsidR="00CD59FB" w:rsidRPr="00CC46EF" w:rsidRDefault="00CD59FB" w:rsidP="00693C2A">
            <w:pPr>
              <w:keepNext/>
              <w:keepLines/>
              <w:spacing w:after="0" w:line="240" w:lineRule="auto"/>
              <w:jc w:val="center"/>
              <w:textAlignment w:val="baseline"/>
              <w:rPr>
                <w:rFonts w:ascii="Arial" w:eastAsia="Times New Roman" w:hAnsi="Arial" w:cs="Arial"/>
                <w:kern w:val="0"/>
                <w:sz w:val="24"/>
                <w:szCs w:val="24"/>
                <w:u w:val="single"/>
                <w14:ligatures w14:val="none"/>
              </w:rPr>
            </w:pPr>
            <w:r w:rsidRPr="00CC46EF">
              <w:rPr>
                <w:rFonts w:ascii="Arial" w:eastAsia="Times New Roman" w:hAnsi="Arial" w:cs="Arial"/>
                <w:kern w:val="0"/>
                <w:sz w:val="24"/>
                <w:szCs w:val="24"/>
                <w:u w:val="single"/>
                <w14:ligatures w14:val="none"/>
              </w:rPr>
              <w:t>0</w:t>
            </w:r>
          </w:p>
        </w:tc>
        <w:tc>
          <w:tcPr>
            <w:tcW w:w="1712" w:type="dxa"/>
            <w:shd w:val="clear" w:color="auto" w:fill="auto"/>
            <w:vAlign w:val="center"/>
            <w:hideMark/>
          </w:tcPr>
          <w:p w14:paraId="29BC66CF" w14:textId="77777777" w:rsidR="00CD59FB" w:rsidRPr="00CC46EF" w:rsidRDefault="00CD59FB" w:rsidP="00693C2A">
            <w:pPr>
              <w:keepNext/>
              <w:keepLines/>
              <w:spacing w:after="0" w:line="240" w:lineRule="auto"/>
              <w:jc w:val="center"/>
              <w:textAlignment w:val="baseline"/>
              <w:rPr>
                <w:rFonts w:ascii="Arial" w:eastAsia="Times New Roman" w:hAnsi="Arial" w:cs="Arial"/>
                <w:kern w:val="0"/>
                <w:sz w:val="24"/>
                <w:szCs w:val="24"/>
                <w:u w:val="single"/>
                <w14:ligatures w14:val="none"/>
              </w:rPr>
            </w:pPr>
            <w:r w:rsidRPr="00CC46EF">
              <w:rPr>
                <w:rFonts w:ascii="Arial" w:eastAsia="Times New Roman" w:hAnsi="Arial" w:cs="Arial"/>
                <w:kern w:val="0"/>
                <w:sz w:val="24"/>
                <w:szCs w:val="24"/>
                <w:u w:val="single"/>
                <w14:ligatures w14:val="none"/>
              </w:rPr>
              <w:t>12</w:t>
            </w:r>
          </w:p>
        </w:tc>
        <w:tc>
          <w:tcPr>
            <w:tcW w:w="1712" w:type="dxa"/>
            <w:shd w:val="clear" w:color="auto" w:fill="auto"/>
            <w:vAlign w:val="center"/>
            <w:hideMark/>
          </w:tcPr>
          <w:p w14:paraId="3BC0D8CF" w14:textId="77777777" w:rsidR="00CD59FB" w:rsidRPr="00CC46EF" w:rsidRDefault="00CD59FB" w:rsidP="00693C2A">
            <w:pPr>
              <w:keepNext/>
              <w:keepLines/>
              <w:spacing w:after="0" w:line="240" w:lineRule="auto"/>
              <w:jc w:val="center"/>
              <w:textAlignment w:val="baseline"/>
              <w:rPr>
                <w:rFonts w:ascii="Arial" w:eastAsia="Times New Roman" w:hAnsi="Arial" w:cs="Arial"/>
                <w:kern w:val="0"/>
                <w:sz w:val="24"/>
                <w:szCs w:val="24"/>
                <w:u w:val="single"/>
                <w14:ligatures w14:val="none"/>
              </w:rPr>
            </w:pPr>
            <w:r w:rsidRPr="00CC46EF">
              <w:rPr>
                <w:rFonts w:ascii="Arial" w:eastAsia="Times New Roman" w:hAnsi="Arial" w:cs="Arial"/>
                <w:kern w:val="0"/>
                <w:sz w:val="24"/>
                <w:szCs w:val="24"/>
                <w:u w:val="single"/>
                <w14:ligatures w14:val="none"/>
              </w:rPr>
              <w:t>9</w:t>
            </w:r>
          </w:p>
        </w:tc>
      </w:tr>
      <w:tr w:rsidR="00CD59FB" w:rsidRPr="004F779C" w14:paraId="02245E9E" w14:textId="77777777" w:rsidTr="00754F5C">
        <w:trPr>
          <w:trHeight w:val="1223"/>
        </w:trPr>
        <w:tc>
          <w:tcPr>
            <w:tcW w:w="4225" w:type="dxa"/>
            <w:shd w:val="clear" w:color="auto" w:fill="auto"/>
            <w:vAlign w:val="center"/>
            <w:hideMark/>
          </w:tcPr>
          <w:p w14:paraId="6D815D3E" w14:textId="464FE72A" w:rsidR="00CD59FB" w:rsidRPr="004F779C" w:rsidRDefault="00CD59FB" w:rsidP="00693C2A">
            <w:pPr>
              <w:keepNext/>
              <w:keepLines/>
              <w:spacing w:after="0" w:line="240" w:lineRule="auto"/>
              <w:jc w:val="center"/>
              <w:textAlignment w:val="baseline"/>
              <w:rPr>
                <w:rFonts w:ascii="Arial" w:eastAsia="Times New Roman" w:hAnsi="Arial" w:cs="Arial"/>
                <w:kern w:val="0"/>
                <w:sz w:val="24"/>
                <w:szCs w:val="24"/>
                <w:u w:val="single"/>
                <w14:ligatures w14:val="none"/>
              </w:rPr>
            </w:pPr>
            <w:r w:rsidRPr="004F779C">
              <w:rPr>
                <w:rFonts w:ascii="Arial" w:eastAsia="Times New Roman" w:hAnsi="Arial" w:cs="Arial"/>
                <w:kern w:val="0"/>
                <w:sz w:val="24"/>
                <w:szCs w:val="24"/>
                <w:u w:val="single"/>
                <w14:ligatures w14:val="none"/>
              </w:rPr>
              <w:t xml:space="preserve">Include in </w:t>
            </w:r>
            <w:r w:rsidR="00927747">
              <w:rPr>
                <w:rFonts w:ascii="Arial" w:eastAsia="Times New Roman" w:hAnsi="Arial" w:cs="Arial"/>
                <w:kern w:val="0"/>
                <w:sz w:val="24"/>
                <w:szCs w:val="24"/>
                <w:u w:val="single"/>
                <w14:ligatures w14:val="none"/>
              </w:rPr>
              <w:t>C</w:t>
            </w:r>
            <w:r w:rsidRPr="004F779C">
              <w:rPr>
                <w:rFonts w:ascii="Arial" w:eastAsia="Times New Roman" w:hAnsi="Arial" w:cs="Arial"/>
                <w:kern w:val="0"/>
                <w:sz w:val="24"/>
                <w:szCs w:val="24"/>
                <w:u w:val="single"/>
                <w14:ligatures w14:val="none"/>
              </w:rPr>
              <w:t>alculation</w:t>
            </w:r>
          </w:p>
        </w:tc>
        <w:tc>
          <w:tcPr>
            <w:tcW w:w="1711" w:type="dxa"/>
            <w:shd w:val="clear" w:color="auto" w:fill="auto"/>
            <w:vAlign w:val="center"/>
            <w:hideMark/>
          </w:tcPr>
          <w:p w14:paraId="16E31620" w14:textId="77777777" w:rsidR="00CD59FB" w:rsidRPr="00CC46EF" w:rsidRDefault="00CD59FB" w:rsidP="00693C2A">
            <w:pPr>
              <w:keepNext/>
              <w:keepLines/>
              <w:spacing w:after="0" w:line="240" w:lineRule="auto"/>
              <w:jc w:val="center"/>
              <w:textAlignment w:val="baseline"/>
              <w:rPr>
                <w:rFonts w:ascii="Arial" w:eastAsia="Times New Roman" w:hAnsi="Arial" w:cs="Arial"/>
                <w:kern w:val="0"/>
                <w:sz w:val="24"/>
                <w:szCs w:val="24"/>
                <w:u w:val="single"/>
                <w14:ligatures w14:val="none"/>
              </w:rPr>
            </w:pPr>
            <w:r w:rsidRPr="00CC46EF">
              <w:rPr>
                <w:rFonts w:ascii="Arial" w:eastAsia="Times New Roman" w:hAnsi="Arial" w:cs="Arial"/>
                <w:kern w:val="0"/>
                <w:sz w:val="24"/>
                <w:szCs w:val="24"/>
                <w:u w:val="single"/>
                <w14:ligatures w14:val="none"/>
              </w:rPr>
              <w:t>Yes</w:t>
            </w:r>
          </w:p>
        </w:tc>
        <w:tc>
          <w:tcPr>
            <w:tcW w:w="1712" w:type="dxa"/>
            <w:shd w:val="clear" w:color="auto" w:fill="auto"/>
            <w:vAlign w:val="center"/>
            <w:hideMark/>
          </w:tcPr>
          <w:p w14:paraId="20D4942E" w14:textId="77777777" w:rsidR="00CD59FB" w:rsidRPr="00CC46EF" w:rsidRDefault="00CD59FB" w:rsidP="00693C2A">
            <w:pPr>
              <w:keepNext/>
              <w:keepLines/>
              <w:spacing w:after="0" w:line="240" w:lineRule="auto"/>
              <w:jc w:val="center"/>
              <w:textAlignment w:val="baseline"/>
              <w:rPr>
                <w:rFonts w:ascii="Arial" w:eastAsia="Times New Roman" w:hAnsi="Arial" w:cs="Arial"/>
                <w:kern w:val="0"/>
                <w:sz w:val="24"/>
                <w:szCs w:val="24"/>
                <w:u w:val="single"/>
                <w14:ligatures w14:val="none"/>
              </w:rPr>
            </w:pPr>
            <w:r w:rsidRPr="00CC46EF">
              <w:rPr>
                <w:rFonts w:ascii="Arial" w:eastAsia="Times New Roman" w:hAnsi="Arial" w:cs="Arial"/>
                <w:kern w:val="0"/>
                <w:sz w:val="24"/>
                <w:szCs w:val="24"/>
                <w:u w:val="single"/>
                <w14:ligatures w14:val="none"/>
              </w:rPr>
              <w:t>Yes</w:t>
            </w:r>
          </w:p>
        </w:tc>
        <w:tc>
          <w:tcPr>
            <w:tcW w:w="1712" w:type="dxa"/>
            <w:shd w:val="clear" w:color="auto" w:fill="auto"/>
            <w:vAlign w:val="center"/>
            <w:hideMark/>
          </w:tcPr>
          <w:p w14:paraId="1645784A" w14:textId="218DE64A" w:rsidR="00CD59FB" w:rsidRPr="00CC46EF" w:rsidRDefault="00CD59FB" w:rsidP="00693C2A">
            <w:pPr>
              <w:keepNext/>
              <w:keepLines/>
              <w:spacing w:after="0" w:line="240" w:lineRule="auto"/>
              <w:jc w:val="center"/>
              <w:textAlignment w:val="baseline"/>
              <w:rPr>
                <w:rFonts w:ascii="Arial" w:eastAsia="Times New Roman" w:hAnsi="Arial" w:cs="Arial"/>
                <w:kern w:val="0"/>
                <w:sz w:val="24"/>
                <w:szCs w:val="24"/>
                <w:u w:val="single"/>
                <w14:ligatures w14:val="none"/>
              </w:rPr>
            </w:pPr>
            <w:r w:rsidRPr="00CC46EF">
              <w:rPr>
                <w:rFonts w:ascii="Arial" w:eastAsia="Times New Roman" w:hAnsi="Arial" w:cs="Arial"/>
                <w:kern w:val="0"/>
                <w:sz w:val="24"/>
                <w:szCs w:val="24"/>
                <w:u w:val="single"/>
                <w14:ligatures w14:val="none"/>
              </w:rPr>
              <w:t>Yes, non-</w:t>
            </w:r>
            <w:r w:rsidR="005A0B35" w:rsidRPr="00CC46EF">
              <w:rPr>
                <w:rFonts w:ascii="Arial" w:eastAsia="Times New Roman" w:hAnsi="Arial" w:cs="Arial"/>
                <w:kern w:val="0"/>
                <w:sz w:val="24"/>
                <w:szCs w:val="24"/>
                <w:u w:val="single"/>
                <w14:ligatures w14:val="none"/>
              </w:rPr>
              <w:t xml:space="preserve">network </w:t>
            </w:r>
            <w:r w:rsidRPr="00CC46EF">
              <w:rPr>
                <w:rFonts w:ascii="Arial" w:eastAsia="Times New Roman" w:hAnsi="Arial" w:cs="Arial"/>
                <w:kern w:val="0"/>
                <w:sz w:val="24"/>
                <w:szCs w:val="24"/>
                <w:u w:val="single"/>
                <w14:ligatures w14:val="none"/>
              </w:rPr>
              <w:t xml:space="preserve">service area with ANP Rate &gt; </w:t>
            </w:r>
            <w:r w:rsidR="00FE53F3" w:rsidRPr="00CC46EF">
              <w:rPr>
                <w:rFonts w:ascii="Arial" w:eastAsia="Times New Roman" w:hAnsi="Arial" w:cs="Arial"/>
                <w:kern w:val="0"/>
                <w:sz w:val="24"/>
                <w:szCs w:val="24"/>
                <w:u w:val="single"/>
                <w14:ligatures w14:val="none"/>
              </w:rPr>
              <w:t>75</w:t>
            </w:r>
            <w:r w:rsidRPr="00CC46EF">
              <w:rPr>
                <w:rFonts w:ascii="Arial" w:eastAsia="Times New Roman" w:hAnsi="Arial" w:cs="Arial"/>
                <w:kern w:val="0"/>
                <w:sz w:val="24"/>
                <w:szCs w:val="24"/>
                <w:u w:val="single"/>
                <w14:ligatures w14:val="none"/>
              </w:rPr>
              <w:t>%</w:t>
            </w:r>
          </w:p>
        </w:tc>
      </w:tr>
      <w:tr w:rsidR="00CD59FB" w:rsidRPr="004F779C" w14:paraId="0AA77444" w14:textId="77777777" w:rsidTr="00746300">
        <w:trPr>
          <w:trHeight w:val="936"/>
        </w:trPr>
        <w:tc>
          <w:tcPr>
            <w:tcW w:w="4225" w:type="dxa"/>
            <w:shd w:val="clear" w:color="auto" w:fill="auto"/>
            <w:vAlign w:val="center"/>
            <w:hideMark/>
          </w:tcPr>
          <w:p w14:paraId="484E7B8F" w14:textId="51EF38D3" w:rsidR="00CD59FB" w:rsidRPr="004F779C" w:rsidRDefault="00CD59FB" w:rsidP="00693C2A">
            <w:pPr>
              <w:spacing w:after="0" w:line="240" w:lineRule="auto"/>
              <w:jc w:val="center"/>
              <w:textAlignment w:val="baseline"/>
              <w:rPr>
                <w:rFonts w:ascii="Arial" w:eastAsia="Times New Roman" w:hAnsi="Arial" w:cs="Arial"/>
                <w:kern w:val="0"/>
                <w:sz w:val="24"/>
                <w:szCs w:val="24"/>
                <w:u w:val="single"/>
                <w14:ligatures w14:val="none"/>
              </w:rPr>
            </w:pPr>
            <w:r w:rsidRPr="004F779C">
              <w:rPr>
                <w:rFonts w:ascii="Arial" w:eastAsia="Times New Roman" w:hAnsi="Arial" w:cs="Arial"/>
                <w:kern w:val="0"/>
                <w:sz w:val="24"/>
                <w:szCs w:val="24"/>
                <w:u w:val="single"/>
                <w14:ligatures w14:val="none"/>
              </w:rPr>
              <w:t xml:space="preserve">ANP </w:t>
            </w:r>
            <w:r w:rsidR="00927747">
              <w:rPr>
                <w:rFonts w:ascii="Arial" w:eastAsia="Times New Roman" w:hAnsi="Arial" w:cs="Arial"/>
                <w:kern w:val="0"/>
                <w:sz w:val="24"/>
                <w:szCs w:val="24"/>
                <w:u w:val="single"/>
                <w14:ligatures w14:val="none"/>
              </w:rPr>
              <w:t>R</w:t>
            </w:r>
            <w:r w:rsidRPr="004F779C">
              <w:rPr>
                <w:rFonts w:ascii="Arial" w:eastAsia="Times New Roman" w:hAnsi="Arial" w:cs="Arial"/>
                <w:kern w:val="0"/>
                <w:sz w:val="24"/>
                <w:szCs w:val="24"/>
                <w:u w:val="single"/>
                <w14:ligatures w14:val="none"/>
              </w:rPr>
              <w:t xml:space="preserve">ate </w:t>
            </w:r>
            <w:r w:rsidR="00927747">
              <w:rPr>
                <w:rFonts w:ascii="Arial" w:eastAsia="Times New Roman" w:hAnsi="Arial" w:cs="Arial"/>
                <w:kern w:val="0"/>
                <w:sz w:val="24"/>
                <w:szCs w:val="24"/>
                <w:u w:val="single"/>
                <w14:ligatures w14:val="none"/>
              </w:rPr>
              <w:t>C</w:t>
            </w:r>
            <w:r w:rsidRPr="004F779C">
              <w:rPr>
                <w:rFonts w:ascii="Arial" w:eastAsia="Times New Roman" w:hAnsi="Arial" w:cs="Arial"/>
                <w:kern w:val="0"/>
                <w:sz w:val="24"/>
                <w:szCs w:val="24"/>
                <w:u w:val="single"/>
                <w14:ligatures w14:val="none"/>
              </w:rPr>
              <w:t>alculation</w:t>
            </w:r>
          </w:p>
        </w:tc>
        <w:tc>
          <w:tcPr>
            <w:tcW w:w="5135" w:type="dxa"/>
            <w:gridSpan w:val="3"/>
            <w:shd w:val="clear" w:color="auto" w:fill="auto"/>
            <w:vAlign w:val="center"/>
            <w:hideMark/>
          </w:tcPr>
          <w:p w14:paraId="05E70495" w14:textId="4EC6A34D" w:rsidR="00CD59FB" w:rsidRPr="00CC46EF" w:rsidRDefault="00CD59FB" w:rsidP="00693C2A">
            <w:pPr>
              <w:spacing w:after="0" w:line="240" w:lineRule="auto"/>
              <w:jc w:val="center"/>
              <w:textAlignment w:val="baseline"/>
              <w:rPr>
                <w:rFonts w:ascii="Arial" w:eastAsia="Times New Roman" w:hAnsi="Arial" w:cs="Arial"/>
                <w:kern w:val="0"/>
                <w:sz w:val="24"/>
                <w:szCs w:val="24"/>
                <w:u w:val="single"/>
                <w14:ligatures w14:val="none"/>
              </w:rPr>
            </w:pPr>
            <w:r w:rsidRPr="00CC46EF">
              <w:rPr>
                <w:rFonts w:ascii="Arial" w:eastAsia="Times New Roman" w:hAnsi="Arial" w:cs="Arial"/>
                <w:kern w:val="0"/>
                <w:sz w:val="24"/>
                <w:szCs w:val="24"/>
                <w:u w:val="single"/>
                <w14:ligatures w14:val="none"/>
              </w:rPr>
              <w:t>(0 + 12 + 9)</w:t>
            </w:r>
            <w:r w:rsidR="00196673" w:rsidRPr="00CC46EF">
              <w:rPr>
                <w:rFonts w:ascii="Arial" w:hAnsi="Arial" w:cs="Arial"/>
                <w:sz w:val="24"/>
                <w:szCs w:val="24"/>
                <w:u w:val="single"/>
              </w:rPr>
              <w:t xml:space="preserve"> ÷</w:t>
            </w:r>
            <w:r w:rsidR="00196673" w:rsidRPr="00CC46EF">
              <w:rPr>
                <w:rFonts w:ascii="Arial" w:eastAsia="Times New Roman" w:hAnsi="Arial" w:cs="Arial"/>
                <w:kern w:val="0"/>
                <w:sz w:val="24"/>
                <w:szCs w:val="24"/>
                <w:u w:val="single"/>
                <w14:ligatures w14:val="none"/>
              </w:rPr>
              <w:t xml:space="preserve"> </w:t>
            </w:r>
            <w:r w:rsidRPr="00CC46EF">
              <w:rPr>
                <w:rFonts w:ascii="Arial" w:eastAsia="Times New Roman" w:hAnsi="Arial" w:cs="Arial"/>
                <w:kern w:val="0"/>
                <w:sz w:val="24"/>
                <w:szCs w:val="24"/>
                <w:u w:val="single"/>
                <w14:ligatures w14:val="none"/>
              </w:rPr>
              <w:t>(2 + 14+ 10) = 21/26 = 81%</w:t>
            </w:r>
          </w:p>
        </w:tc>
      </w:tr>
    </w:tbl>
    <w:p w14:paraId="07D528E8" w14:textId="0F99BAD6" w:rsidR="00CD59FB" w:rsidRPr="009F648C" w:rsidRDefault="00CD59FB">
      <w:pPr>
        <w:rPr>
          <w:rFonts w:ascii="Arial" w:hAnsi="Arial" w:cs="Arial"/>
          <w:sz w:val="24"/>
          <w:szCs w:val="24"/>
        </w:rPr>
      </w:pPr>
    </w:p>
    <w:sectPr w:rsidR="00CD59FB" w:rsidRPr="009F648C" w:rsidSect="002970F2">
      <w:headerReference w:type="default" r:id="rId10"/>
      <w:footerReference w:type="default" r:id="rId11"/>
      <w:type w:val="continuous"/>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18C6C" w14:textId="77777777" w:rsidR="007951E0" w:rsidRDefault="007951E0">
      <w:pPr>
        <w:spacing w:after="0" w:line="240" w:lineRule="auto"/>
      </w:pPr>
      <w:r>
        <w:separator/>
      </w:r>
    </w:p>
  </w:endnote>
  <w:endnote w:type="continuationSeparator" w:id="0">
    <w:p w14:paraId="25C11FCE" w14:textId="77777777" w:rsidR="007951E0" w:rsidRDefault="007951E0">
      <w:pPr>
        <w:spacing w:after="0" w:line="240" w:lineRule="auto"/>
      </w:pPr>
      <w:r>
        <w:continuationSeparator/>
      </w:r>
    </w:p>
  </w:endnote>
  <w:endnote w:type="continuationNotice" w:id="1">
    <w:p w14:paraId="4E3C4BC8" w14:textId="77777777" w:rsidR="007951E0" w:rsidRDefault="007951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521722"/>
      <w:docPartObj>
        <w:docPartGallery w:val="Page Numbers (Bottom of Page)"/>
        <w:docPartUnique/>
      </w:docPartObj>
    </w:sdtPr>
    <w:sdtEndPr>
      <w:rPr>
        <w:rFonts w:ascii="Arial" w:hAnsi="Arial" w:cs="Arial"/>
        <w:noProof/>
        <w:sz w:val="24"/>
        <w:szCs w:val="24"/>
      </w:rPr>
    </w:sdtEndPr>
    <w:sdtContent>
      <w:p w14:paraId="479E9CE9" w14:textId="77777777" w:rsidR="00CD59FB" w:rsidRPr="00A21A70" w:rsidRDefault="00CD59FB">
        <w:pPr>
          <w:pStyle w:val="Footer"/>
          <w:jc w:val="center"/>
          <w:rPr>
            <w:rFonts w:ascii="Arial" w:hAnsi="Arial" w:cs="Arial"/>
            <w:sz w:val="24"/>
            <w:szCs w:val="24"/>
          </w:rPr>
        </w:pPr>
        <w:r w:rsidRPr="00A21A70">
          <w:rPr>
            <w:rFonts w:ascii="Arial" w:hAnsi="Arial" w:cs="Arial"/>
            <w:sz w:val="24"/>
            <w:szCs w:val="24"/>
          </w:rPr>
          <w:fldChar w:fldCharType="begin"/>
        </w:r>
        <w:r w:rsidRPr="00A21A70">
          <w:rPr>
            <w:rFonts w:ascii="Arial" w:hAnsi="Arial" w:cs="Arial"/>
            <w:sz w:val="24"/>
            <w:szCs w:val="24"/>
          </w:rPr>
          <w:instrText xml:space="preserve"> PAGE   \* MERGEFORMAT </w:instrText>
        </w:r>
        <w:r w:rsidRPr="00A21A70">
          <w:rPr>
            <w:rFonts w:ascii="Arial" w:hAnsi="Arial" w:cs="Arial"/>
            <w:sz w:val="24"/>
            <w:szCs w:val="24"/>
          </w:rPr>
          <w:fldChar w:fldCharType="separate"/>
        </w:r>
        <w:r w:rsidRPr="00A21A70">
          <w:rPr>
            <w:rFonts w:ascii="Arial" w:hAnsi="Arial" w:cs="Arial"/>
            <w:noProof/>
            <w:sz w:val="24"/>
            <w:szCs w:val="24"/>
          </w:rPr>
          <w:t>2</w:t>
        </w:r>
        <w:r w:rsidRPr="00A21A70">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92BFB" w14:textId="77777777" w:rsidR="007951E0" w:rsidRDefault="007951E0">
      <w:pPr>
        <w:spacing w:after="0" w:line="240" w:lineRule="auto"/>
      </w:pPr>
      <w:r>
        <w:separator/>
      </w:r>
    </w:p>
  </w:footnote>
  <w:footnote w:type="continuationSeparator" w:id="0">
    <w:p w14:paraId="7FA4E791" w14:textId="77777777" w:rsidR="007951E0" w:rsidRDefault="007951E0">
      <w:pPr>
        <w:spacing w:after="0" w:line="240" w:lineRule="auto"/>
      </w:pPr>
      <w:r>
        <w:continuationSeparator/>
      </w:r>
    </w:p>
  </w:footnote>
  <w:footnote w:type="continuationNotice" w:id="1">
    <w:p w14:paraId="6CBD4DE2" w14:textId="77777777" w:rsidR="007951E0" w:rsidRDefault="007951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E41A" w14:textId="304C7B99" w:rsidR="00CD59FB" w:rsidRPr="00C17E54" w:rsidRDefault="006E5AC7" w:rsidP="005A366B">
    <w:pPr>
      <w:pStyle w:val="Header"/>
      <w:jc w:val="center"/>
      <w:rPr>
        <w:rFonts w:ascii="Arial" w:hAnsi="Arial" w:cs="Arial"/>
        <w:color w:val="1C4F9D"/>
        <w:spacing w:val="-2"/>
        <w:sz w:val="24"/>
        <w:szCs w:val="24"/>
        <w:u w:val="single"/>
      </w:rPr>
    </w:pPr>
    <w:r w:rsidRPr="00C17E54">
      <w:rPr>
        <w:rFonts w:ascii="Arial" w:hAnsi="Arial" w:cs="Arial"/>
        <w:color w:val="1C4F9D"/>
        <w:spacing w:val="-2"/>
        <w:sz w:val="24"/>
        <w:szCs w:val="24"/>
        <w:u w:val="single"/>
      </w:rPr>
      <w:t xml:space="preserve">Primary Care Physician </w:t>
    </w:r>
    <w:r w:rsidR="00CD59FB" w:rsidRPr="00C17E54">
      <w:rPr>
        <w:rFonts w:ascii="Arial" w:hAnsi="Arial" w:cs="Arial"/>
        <w:color w:val="1C4F9D"/>
        <w:spacing w:val="-2"/>
        <w:sz w:val="24"/>
        <w:szCs w:val="24"/>
        <w:u w:val="single"/>
      </w:rPr>
      <w:t>Accepting New Patients Standards and Methodology</w:t>
    </w:r>
    <w:r w:rsidR="005A366B" w:rsidRPr="00C17E54">
      <w:rPr>
        <w:rFonts w:ascii="Arial" w:hAnsi="Arial" w:cs="Arial"/>
        <w:color w:val="1C4F9D"/>
        <w:spacing w:val="-2"/>
        <w:sz w:val="24"/>
        <w:szCs w:val="24"/>
        <w:u w:val="single"/>
      </w:rPr>
      <w:t>- Schedule F</w:t>
    </w:r>
  </w:p>
  <w:p w14:paraId="60D000AC" w14:textId="68BCC230" w:rsidR="00CD59FB" w:rsidRPr="00C17E54" w:rsidRDefault="009E5406" w:rsidP="00693C2A">
    <w:pPr>
      <w:pStyle w:val="Header"/>
      <w:spacing w:after="240"/>
      <w:jc w:val="center"/>
      <w:rPr>
        <w:rFonts w:ascii="Arial" w:hAnsi="Arial" w:cs="Arial"/>
        <w:color w:val="1C4F9D"/>
        <w:spacing w:val="-2"/>
        <w:sz w:val="24"/>
        <w:szCs w:val="24"/>
        <w:u w:val="single"/>
      </w:rPr>
    </w:pPr>
    <w:r w:rsidRPr="00C17E54">
      <w:rPr>
        <w:rFonts w:ascii="Arial" w:hAnsi="Arial" w:cs="Arial"/>
        <w:color w:val="1C4F9D"/>
        <w:spacing w:val="-2"/>
        <w:sz w:val="24"/>
        <w:szCs w:val="24"/>
        <w:u w:val="single"/>
      </w:rPr>
      <w:t>Issue</w:t>
    </w:r>
    <w:r w:rsidR="00CD59FB" w:rsidRPr="00C17E54">
      <w:rPr>
        <w:rFonts w:ascii="Arial" w:hAnsi="Arial" w:cs="Arial"/>
        <w:color w:val="1C4F9D"/>
        <w:spacing w:val="-2"/>
        <w:sz w:val="24"/>
        <w:szCs w:val="24"/>
        <w:u w:val="single"/>
      </w:rPr>
      <w:t xml:space="preserve"> Date: </w:t>
    </w:r>
    <w:r w:rsidRPr="00C17E54">
      <w:rPr>
        <w:rFonts w:ascii="Arial" w:hAnsi="Arial" w:cs="Arial"/>
        <w:color w:val="1C4F9D"/>
        <w:spacing w:val="-2"/>
        <w:sz w:val="24"/>
        <w:szCs w:val="24"/>
        <w:u w:val="single"/>
      </w:rPr>
      <w:t>December</w:t>
    </w:r>
    <w:r w:rsidR="006E5AC7" w:rsidRPr="00C17E54">
      <w:rPr>
        <w:rFonts w:ascii="Arial" w:hAnsi="Arial" w:cs="Arial"/>
        <w:color w:val="1C4F9D"/>
        <w:spacing w:val="-2"/>
        <w:sz w:val="24"/>
        <w:szCs w:val="24"/>
        <w:u w:val="single"/>
      </w:rPr>
      <w:t xml:space="preserve"> </w:t>
    </w:r>
    <w:r w:rsidR="00693C2A" w:rsidRPr="00C17E54">
      <w:rPr>
        <w:rFonts w:ascii="Arial" w:hAnsi="Arial" w:cs="Arial"/>
        <w:color w:val="1C4F9D"/>
        <w:spacing w:val="-2"/>
        <w:sz w:val="24"/>
        <w:szCs w:val="24"/>
        <w:u w:val="single"/>
      </w:rPr>
      <w:t>1</w:t>
    </w:r>
    <w:r w:rsidRPr="00C17E54">
      <w:rPr>
        <w:rFonts w:ascii="Arial" w:hAnsi="Arial" w:cs="Arial"/>
        <w:color w:val="1C4F9D"/>
        <w:spacing w:val="-2"/>
        <w:sz w:val="24"/>
        <w:szCs w:val="24"/>
        <w:u w:val="single"/>
      </w:rPr>
      <w:t>2</w:t>
    </w:r>
    <w:r w:rsidR="00CD59FB" w:rsidRPr="00C17E54">
      <w:rPr>
        <w:rFonts w:ascii="Arial" w:hAnsi="Arial" w:cs="Arial"/>
        <w:color w:val="1C4F9D"/>
        <w:spacing w:val="-2"/>
        <w:sz w:val="24"/>
        <w:szCs w:val="24"/>
        <w:u w:val="single"/>
      </w:rPr>
      <w:t>, 202</w:t>
    </w:r>
    <w:r w:rsidR="00E25498" w:rsidRPr="00C17E54">
      <w:rPr>
        <w:rFonts w:ascii="Arial" w:hAnsi="Arial" w:cs="Arial"/>
        <w:color w:val="1C4F9D"/>
        <w:spacing w:val="-2"/>
        <w:sz w:val="24"/>
        <w:szCs w:val="24"/>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659D7"/>
    <w:multiLevelType w:val="hybridMultilevel"/>
    <w:tmpl w:val="BD586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30586"/>
    <w:multiLevelType w:val="hybridMultilevel"/>
    <w:tmpl w:val="CF98A0BE"/>
    <w:lvl w:ilvl="0" w:tplc="FFFFFFFF">
      <w:start w:val="1"/>
      <w:numFmt w:val="decimal"/>
      <w:lvlText w:val="%1."/>
      <w:lvlJc w:val="left"/>
      <w:pPr>
        <w:ind w:left="28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84FF4B"/>
    <w:multiLevelType w:val="hybridMultilevel"/>
    <w:tmpl w:val="56DCB0C4"/>
    <w:lvl w:ilvl="0" w:tplc="64E05AC6">
      <w:start w:val="1"/>
      <w:numFmt w:val="upperLetter"/>
      <w:lvlText w:val="%1."/>
      <w:lvlJc w:val="left"/>
      <w:pPr>
        <w:ind w:left="720" w:hanging="360"/>
      </w:pPr>
      <w:rPr>
        <w:rFonts w:ascii="Arial" w:hAnsi="Arial" w:cs="Arial" w:hint="default"/>
        <w:b/>
        <w:bCs/>
        <w:sz w:val="24"/>
        <w:szCs w:val="24"/>
        <w:u w:val="single"/>
      </w:rPr>
    </w:lvl>
    <w:lvl w:ilvl="1" w:tplc="A6E4212E">
      <w:start w:val="1"/>
      <w:numFmt w:val="lowerLetter"/>
      <w:lvlText w:val="%2."/>
      <w:lvlJc w:val="left"/>
      <w:pPr>
        <w:ind w:left="1440" w:hanging="360"/>
      </w:pPr>
    </w:lvl>
    <w:lvl w:ilvl="2" w:tplc="302EA65C">
      <w:start w:val="1"/>
      <w:numFmt w:val="lowerRoman"/>
      <w:lvlText w:val="%3."/>
      <w:lvlJc w:val="right"/>
      <w:pPr>
        <w:ind w:left="2160" w:hanging="180"/>
      </w:pPr>
    </w:lvl>
    <w:lvl w:ilvl="3" w:tplc="C7C0A3B2">
      <w:start w:val="1"/>
      <w:numFmt w:val="decimal"/>
      <w:lvlText w:val="%4."/>
      <w:lvlJc w:val="left"/>
      <w:pPr>
        <w:ind w:left="2880" w:hanging="360"/>
      </w:pPr>
      <w:rPr>
        <w:u w:val="single"/>
      </w:rPr>
    </w:lvl>
    <w:lvl w:ilvl="4" w:tplc="1F64ADFC">
      <w:start w:val="1"/>
      <w:numFmt w:val="lowerLetter"/>
      <w:lvlText w:val="%5."/>
      <w:lvlJc w:val="left"/>
      <w:pPr>
        <w:ind w:left="3600" w:hanging="360"/>
      </w:pPr>
    </w:lvl>
    <w:lvl w:ilvl="5" w:tplc="3A9825E8">
      <w:start w:val="1"/>
      <w:numFmt w:val="lowerRoman"/>
      <w:lvlText w:val="%6."/>
      <w:lvlJc w:val="right"/>
      <w:pPr>
        <w:ind w:left="4320" w:hanging="180"/>
      </w:pPr>
    </w:lvl>
    <w:lvl w:ilvl="6" w:tplc="AD82FF26">
      <w:start w:val="1"/>
      <w:numFmt w:val="decimal"/>
      <w:lvlText w:val="%7."/>
      <w:lvlJc w:val="left"/>
      <w:pPr>
        <w:ind w:left="5040" w:hanging="360"/>
      </w:pPr>
    </w:lvl>
    <w:lvl w:ilvl="7" w:tplc="DA58E626">
      <w:start w:val="1"/>
      <w:numFmt w:val="lowerLetter"/>
      <w:lvlText w:val="%8."/>
      <w:lvlJc w:val="left"/>
      <w:pPr>
        <w:ind w:left="5760" w:hanging="360"/>
      </w:pPr>
    </w:lvl>
    <w:lvl w:ilvl="8" w:tplc="EDB2877A">
      <w:start w:val="1"/>
      <w:numFmt w:val="lowerRoman"/>
      <w:lvlText w:val="%9."/>
      <w:lvlJc w:val="right"/>
      <w:pPr>
        <w:ind w:left="6480" w:hanging="180"/>
      </w:pPr>
    </w:lvl>
  </w:abstractNum>
  <w:abstractNum w:abstractNumId="3" w15:restartNumberingAfterBreak="0">
    <w:nsid w:val="596D7BD1"/>
    <w:multiLevelType w:val="hybridMultilevel"/>
    <w:tmpl w:val="C58636FA"/>
    <w:lvl w:ilvl="0" w:tplc="762C0272">
      <w:start w:val="1"/>
      <w:numFmt w:val="decimal"/>
      <w:lvlText w:val="%1."/>
      <w:lvlJc w:val="left"/>
      <w:pPr>
        <w:ind w:left="1080" w:hanging="360"/>
      </w:pPr>
      <w:rPr>
        <w:rFonts w:ascii="Arial" w:hAnsi="Arial" w:cs="Arial" w:hint="default"/>
        <w:sz w:val="24"/>
        <w:szCs w:val="24"/>
        <w:u w:val="single"/>
      </w:rPr>
    </w:lvl>
    <w:lvl w:ilvl="1" w:tplc="82BC0ACA">
      <w:start w:val="1"/>
      <w:numFmt w:val="lowerLetter"/>
      <w:lvlText w:val="%2."/>
      <w:lvlJc w:val="left"/>
      <w:pPr>
        <w:ind w:left="1800" w:hanging="360"/>
      </w:pPr>
      <w:rPr>
        <w:u w:val="single"/>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30212390">
    <w:abstractNumId w:val="3"/>
  </w:num>
  <w:num w:numId="2" w16cid:durableId="1163085999">
    <w:abstractNumId w:val="2"/>
  </w:num>
  <w:num w:numId="3" w16cid:durableId="993291747">
    <w:abstractNumId w:val="1"/>
  </w:num>
  <w:num w:numId="4" w16cid:durableId="611403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QS1V8s+ieaoCnmByb1jMSiYEuWr/1UJu187DiGBImJCtn1urCLiG9lVBnDXBtnWzQs3FOvYVQFrtUxsVBGjm3A==" w:salt="hktgskiblnqON599iZpzN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FB"/>
    <w:rsid w:val="00032588"/>
    <w:rsid w:val="00045AAE"/>
    <w:rsid w:val="000801F7"/>
    <w:rsid w:val="000C5374"/>
    <w:rsid w:val="000E5B8F"/>
    <w:rsid w:val="000F03B3"/>
    <w:rsid w:val="00101FD5"/>
    <w:rsid w:val="00142B8F"/>
    <w:rsid w:val="001546DA"/>
    <w:rsid w:val="00161FC8"/>
    <w:rsid w:val="001650A4"/>
    <w:rsid w:val="0016704A"/>
    <w:rsid w:val="00167BE9"/>
    <w:rsid w:val="00196673"/>
    <w:rsid w:val="001B7178"/>
    <w:rsid w:val="001F36CA"/>
    <w:rsid w:val="002027A8"/>
    <w:rsid w:val="00216586"/>
    <w:rsid w:val="00253631"/>
    <w:rsid w:val="002835FF"/>
    <w:rsid w:val="002970F2"/>
    <w:rsid w:val="002D6938"/>
    <w:rsid w:val="002D760B"/>
    <w:rsid w:val="002E38D9"/>
    <w:rsid w:val="002F6413"/>
    <w:rsid w:val="00310ED6"/>
    <w:rsid w:val="003164C7"/>
    <w:rsid w:val="0033341D"/>
    <w:rsid w:val="00352502"/>
    <w:rsid w:val="00371F56"/>
    <w:rsid w:val="003842C5"/>
    <w:rsid w:val="003B0E9A"/>
    <w:rsid w:val="003C0D3D"/>
    <w:rsid w:val="003F655F"/>
    <w:rsid w:val="00403879"/>
    <w:rsid w:val="00420C02"/>
    <w:rsid w:val="00424965"/>
    <w:rsid w:val="00456C79"/>
    <w:rsid w:val="00462014"/>
    <w:rsid w:val="004958BD"/>
    <w:rsid w:val="00497431"/>
    <w:rsid w:val="004B3617"/>
    <w:rsid w:val="004D6941"/>
    <w:rsid w:val="004E4398"/>
    <w:rsid w:val="00513E67"/>
    <w:rsid w:val="00545E24"/>
    <w:rsid w:val="00581D75"/>
    <w:rsid w:val="005A0B35"/>
    <w:rsid w:val="005A366B"/>
    <w:rsid w:val="005C0E89"/>
    <w:rsid w:val="005D2DB7"/>
    <w:rsid w:val="005D49CE"/>
    <w:rsid w:val="005D5F86"/>
    <w:rsid w:val="00600E0C"/>
    <w:rsid w:val="00602A8E"/>
    <w:rsid w:val="00626E0B"/>
    <w:rsid w:val="00627A27"/>
    <w:rsid w:val="00632773"/>
    <w:rsid w:val="00633B91"/>
    <w:rsid w:val="00635F1B"/>
    <w:rsid w:val="00637652"/>
    <w:rsid w:val="0066255D"/>
    <w:rsid w:val="006773F5"/>
    <w:rsid w:val="006775B4"/>
    <w:rsid w:val="00677959"/>
    <w:rsid w:val="00693C2A"/>
    <w:rsid w:val="006950AA"/>
    <w:rsid w:val="006C6DC6"/>
    <w:rsid w:val="006E5AC7"/>
    <w:rsid w:val="006F0F65"/>
    <w:rsid w:val="006F3D01"/>
    <w:rsid w:val="006F6A8D"/>
    <w:rsid w:val="00715315"/>
    <w:rsid w:val="00746300"/>
    <w:rsid w:val="00754F5C"/>
    <w:rsid w:val="00787216"/>
    <w:rsid w:val="00791231"/>
    <w:rsid w:val="007951E0"/>
    <w:rsid w:val="007D0212"/>
    <w:rsid w:val="007D5C03"/>
    <w:rsid w:val="00822121"/>
    <w:rsid w:val="00846A51"/>
    <w:rsid w:val="00863CD9"/>
    <w:rsid w:val="008711FD"/>
    <w:rsid w:val="00874E0E"/>
    <w:rsid w:val="00895F35"/>
    <w:rsid w:val="00896C35"/>
    <w:rsid w:val="008A0285"/>
    <w:rsid w:val="008B2730"/>
    <w:rsid w:val="008D6BA5"/>
    <w:rsid w:val="00927747"/>
    <w:rsid w:val="00930C0D"/>
    <w:rsid w:val="00940058"/>
    <w:rsid w:val="00941F39"/>
    <w:rsid w:val="00976953"/>
    <w:rsid w:val="00992FDA"/>
    <w:rsid w:val="009A1BAD"/>
    <w:rsid w:val="009E5406"/>
    <w:rsid w:val="009E6250"/>
    <w:rsid w:val="009F63CA"/>
    <w:rsid w:val="009F648C"/>
    <w:rsid w:val="00A96191"/>
    <w:rsid w:val="00AC0859"/>
    <w:rsid w:val="00AF3AF1"/>
    <w:rsid w:val="00B5530E"/>
    <w:rsid w:val="00B705B6"/>
    <w:rsid w:val="00BD0FC4"/>
    <w:rsid w:val="00BF65A3"/>
    <w:rsid w:val="00C17E54"/>
    <w:rsid w:val="00C40DE6"/>
    <w:rsid w:val="00C416CE"/>
    <w:rsid w:val="00CC21E0"/>
    <w:rsid w:val="00CC401B"/>
    <w:rsid w:val="00CC46EF"/>
    <w:rsid w:val="00CD59FB"/>
    <w:rsid w:val="00D15AF0"/>
    <w:rsid w:val="00D243D7"/>
    <w:rsid w:val="00D508AE"/>
    <w:rsid w:val="00D700A8"/>
    <w:rsid w:val="00D87C77"/>
    <w:rsid w:val="00D91E0B"/>
    <w:rsid w:val="00DA486A"/>
    <w:rsid w:val="00DA4A3D"/>
    <w:rsid w:val="00DB6CA7"/>
    <w:rsid w:val="00DC5BE5"/>
    <w:rsid w:val="00DC6690"/>
    <w:rsid w:val="00DE005A"/>
    <w:rsid w:val="00E051D8"/>
    <w:rsid w:val="00E2294B"/>
    <w:rsid w:val="00E25498"/>
    <w:rsid w:val="00E6045B"/>
    <w:rsid w:val="00E65A2B"/>
    <w:rsid w:val="00E81577"/>
    <w:rsid w:val="00E95937"/>
    <w:rsid w:val="00EA1976"/>
    <w:rsid w:val="00EA2077"/>
    <w:rsid w:val="00EB240D"/>
    <w:rsid w:val="00EB3A5C"/>
    <w:rsid w:val="00ED2F4C"/>
    <w:rsid w:val="00ED4416"/>
    <w:rsid w:val="00ED5FC5"/>
    <w:rsid w:val="00EF3AE7"/>
    <w:rsid w:val="00F048E1"/>
    <w:rsid w:val="00F24F39"/>
    <w:rsid w:val="00F44C85"/>
    <w:rsid w:val="00F5630F"/>
    <w:rsid w:val="00F60703"/>
    <w:rsid w:val="00F62A5F"/>
    <w:rsid w:val="00F64F22"/>
    <w:rsid w:val="00F86567"/>
    <w:rsid w:val="00F926EA"/>
    <w:rsid w:val="00FA32C3"/>
    <w:rsid w:val="00FE3765"/>
    <w:rsid w:val="00FE53F3"/>
    <w:rsid w:val="00FE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FC836"/>
  <w15:chartTrackingRefBased/>
  <w15:docId w15:val="{654F75C8-9D18-41C6-AC34-5ECCF80B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9FB"/>
    <w:pPr>
      <w:spacing w:line="259" w:lineRule="auto"/>
    </w:pPr>
    <w:rPr>
      <w:sz w:val="22"/>
      <w:szCs w:val="22"/>
    </w:rPr>
  </w:style>
  <w:style w:type="paragraph" w:styleId="Heading1">
    <w:name w:val="heading 1"/>
    <w:basedOn w:val="Normal"/>
    <w:next w:val="Normal"/>
    <w:link w:val="Heading1Char"/>
    <w:uiPriority w:val="9"/>
    <w:qFormat/>
    <w:rsid w:val="00895F35"/>
    <w:pPr>
      <w:keepNext/>
      <w:keepLines/>
      <w:spacing w:before="360" w:after="80"/>
      <w:jc w:val="center"/>
      <w:outlineLvl w:val="0"/>
    </w:pPr>
    <w:rPr>
      <w:rFonts w:ascii="Arial" w:eastAsiaTheme="majorEastAsia" w:hAnsi="Arial" w:cstheme="majorBidi"/>
      <w:b/>
      <w:sz w:val="28"/>
      <w:szCs w:val="40"/>
      <w:u w:val="single"/>
    </w:rPr>
  </w:style>
  <w:style w:type="paragraph" w:styleId="Heading2">
    <w:name w:val="heading 2"/>
    <w:basedOn w:val="Normal"/>
    <w:next w:val="Normal"/>
    <w:link w:val="Heading2Char"/>
    <w:uiPriority w:val="9"/>
    <w:semiHidden/>
    <w:unhideWhenUsed/>
    <w:qFormat/>
    <w:rsid w:val="00CD5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9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9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9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9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9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9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9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F35"/>
    <w:rPr>
      <w:rFonts w:ascii="Arial" w:eastAsiaTheme="majorEastAsia" w:hAnsi="Arial" w:cstheme="majorBidi"/>
      <w:b/>
      <w:sz w:val="28"/>
      <w:szCs w:val="40"/>
      <w:u w:val="single"/>
    </w:rPr>
  </w:style>
  <w:style w:type="character" w:customStyle="1" w:styleId="Heading2Char">
    <w:name w:val="Heading 2 Char"/>
    <w:basedOn w:val="DefaultParagraphFont"/>
    <w:link w:val="Heading2"/>
    <w:uiPriority w:val="9"/>
    <w:semiHidden/>
    <w:rsid w:val="00CD59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9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9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9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9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9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9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9FB"/>
    <w:rPr>
      <w:rFonts w:eastAsiaTheme="majorEastAsia" w:cstheme="majorBidi"/>
      <w:color w:val="272727" w:themeColor="text1" w:themeTint="D8"/>
    </w:rPr>
  </w:style>
  <w:style w:type="paragraph" w:styleId="Title">
    <w:name w:val="Title"/>
    <w:basedOn w:val="Normal"/>
    <w:next w:val="Normal"/>
    <w:link w:val="TitleChar"/>
    <w:uiPriority w:val="10"/>
    <w:qFormat/>
    <w:rsid w:val="00CD5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9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9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9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9FB"/>
    <w:pPr>
      <w:spacing w:before="160"/>
      <w:jc w:val="center"/>
    </w:pPr>
    <w:rPr>
      <w:i/>
      <w:iCs/>
      <w:color w:val="404040" w:themeColor="text1" w:themeTint="BF"/>
    </w:rPr>
  </w:style>
  <w:style w:type="character" w:customStyle="1" w:styleId="QuoteChar">
    <w:name w:val="Quote Char"/>
    <w:basedOn w:val="DefaultParagraphFont"/>
    <w:link w:val="Quote"/>
    <w:uiPriority w:val="29"/>
    <w:rsid w:val="00CD59FB"/>
    <w:rPr>
      <w:i/>
      <w:iCs/>
      <w:color w:val="404040" w:themeColor="text1" w:themeTint="BF"/>
    </w:rPr>
  </w:style>
  <w:style w:type="paragraph" w:styleId="ListParagraph">
    <w:name w:val="List Paragraph"/>
    <w:basedOn w:val="Normal"/>
    <w:uiPriority w:val="34"/>
    <w:qFormat/>
    <w:rsid w:val="00CD59FB"/>
    <w:pPr>
      <w:ind w:left="720"/>
      <w:contextualSpacing/>
    </w:pPr>
  </w:style>
  <w:style w:type="character" w:styleId="IntenseEmphasis">
    <w:name w:val="Intense Emphasis"/>
    <w:basedOn w:val="DefaultParagraphFont"/>
    <w:uiPriority w:val="21"/>
    <w:qFormat/>
    <w:rsid w:val="00CD59FB"/>
    <w:rPr>
      <w:i/>
      <w:iCs/>
      <w:color w:val="0F4761" w:themeColor="accent1" w:themeShade="BF"/>
    </w:rPr>
  </w:style>
  <w:style w:type="paragraph" w:styleId="IntenseQuote">
    <w:name w:val="Intense Quote"/>
    <w:basedOn w:val="Normal"/>
    <w:next w:val="Normal"/>
    <w:link w:val="IntenseQuoteChar"/>
    <w:uiPriority w:val="30"/>
    <w:qFormat/>
    <w:rsid w:val="00CD5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9FB"/>
    <w:rPr>
      <w:i/>
      <w:iCs/>
      <w:color w:val="0F4761" w:themeColor="accent1" w:themeShade="BF"/>
    </w:rPr>
  </w:style>
  <w:style w:type="character" w:styleId="IntenseReference">
    <w:name w:val="Intense Reference"/>
    <w:basedOn w:val="DefaultParagraphFont"/>
    <w:uiPriority w:val="32"/>
    <w:qFormat/>
    <w:rsid w:val="00CD59FB"/>
    <w:rPr>
      <w:b/>
      <w:bCs/>
      <w:smallCaps/>
      <w:color w:val="0F4761" w:themeColor="accent1" w:themeShade="BF"/>
      <w:spacing w:val="5"/>
    </w:rPr>
  </w:style>
  <w:style w:type="paragraph" w:customStyle="1" w:styleId="paragraph">
    <w:name w:val="paragraph"/>
    <w:basedOn w:val="Normal"/>
    <w:rsid w:val="00CD59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D59FB"/>
  </w:style>
  <w:style w:type="character" w:customStyle="1" w:styleId="eop">
    <w:name w:val="eop"/>
    <w:basedOn w:val="DefaultParagraphFont"/>
    <w:rsid w:val="00CD59FB"/>
  </w:style>
  <w:style w:type="character" w:customStyle="1" w:styleId="advancedproofingissue">
    <w:name w:val="advancedproofingissue"/>
    <w:basedOn w:val="DefaultParagraphFont"/>
    <w:rsid w:val="00CD59FB"/>
  </w:style>
  <w:style w:type="character" w:customStyle="1" w:styleId="contextualspellingandgrammarerror">
    <w:name w:val="contextualspellingandgrammarerror"/>
    <w:basedOn w:val="DefaultParagraphFont"/>
    <w:rsid w:val="00CD59FB"/>
  </w:style>
  <w:style w:type="paragraph" w:styleId="Header">
    <w:name w:val="header"/>
    <w:basedOn w:val="Normal"/>
    <w:link w:val="HeaderChar"/>
    <w:uiPriority w:val="99"/>
    <w:unhideWhenUsed/>
    <w:rsid w:val="00CD5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9FB"/>
    <w:rPr>
      <w:sz w:val="22"/>
      <w:szCs w:val="22"/>
    </w:rPr>
  </w:style>
  <w:style w:type="paragraph" w:styleId="Footer">
    <w:name w:val="footer"/>
    <w:basedOn w:val="Normal"/>
    <w:link w:val="FooterChar"/>
    <w:uiPriority w:val="99"/>
    <w:unhideWhenUsed/>
    <w:rsid w:val="00CD5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9FB"/>
    <w:rPr>
      <w:sz w:val="22"/>
      <w:szCs w:val="22"/>
    </w:rPr>
  </w:style>
  <w:style w:type="character" w:styleId="CommentReference">
    <w:name w:val="annotation reference"/>
    <w:basedOn w:val="DefaultParagraphFont"/>
    <w:uiPriority w:val="99"/>
    <w:semiHidden/>
    <w:unhideWhenUsed/>
    <w:rsid w:val="00CD59FB"/>
    <w:rPr>
      <w:sz w:val="16"/>
      <w:szCs w:val="16"/>
    </w:rPr>
  </w:style>
  <w:style w:type="paragraph" w:styleId="CommentText">
    <w:name w:val="annotation text"/>
    <w:basedOn w:val="Normal"/>
    <w:link w:val="CommentTextChar"/>
    <w:uiPriority w:val="99"/>
    <w:unhideWhenUsed/>
    <w:rsid w:val="00CD59FB"/>
    <w:pPr>
      <w:spacing w:line="240" w:lineRule="auto"/>
    </w:pPr>
    <w:rPr>
      <w:sz w:val="20"/>
      <w:szCs w:val="20"/>
    </w:rPr>
  </w:style>
  <w:style w:type="character" w:customStyle="1" w:styleId="CommentTextChar">
    <w:name w:val="Comment Text Char"/>
    <w:basedOn w:val="DefaultParagraphFont"/>
    <w:link w:val="CommentText"/>
    <w:uiPriority w:val="99"/>
    <w:rsid w:val="00CD59FB"/>
    <w:rPr>
      <w:sz w:val="20"/>
      <w:szCs w:val="20"/>
    </w:rPr>
  </w:style>
  <w:style w:type="paragraph" w:styleId="CommentSubject">
    <w:name w:val="annotation subject"/>
    <w:basedOn w:val="CommentText"/>
    <w:next w:val="CommentText"/>
    <w:link w:val="CommentSubjectChar"/>
    <w:uiPriority w:val="99"/>
    <w:semiHidden/>
    <w:unhideWhenUsed/>
    <w:rsid w:val="00CD59FB"/>
    <w:rPr>
      <w:b/>
      <w:bCs/>
    </w:rPr>
  </w:style>
  <w:style w:type="character" w:customStyle="1" w:styleId="CommentSubjectChar">
    <w:name w:val="Comment Subject Char"/>
    <w:basedOn w:val="CommentTextChar"/>
    <w:link w:val="CommentSubject"/>
    <w:uiPriority w:val="99"/>
    <w:semiHidden/>
    <w:rsid w:val="00CD59FB"/>
    <w:rPr>
      <w:b/>
      <w:bCs/>
      <w:sz w:val="20"/>
      <w:szCs w:val="20"/>
    </w:rPr>
  </w:style>
  <w:style w:type="paragraph" w:styleId="Revision">
    <w:name w:val="Revision"/>
    <w:hidden/>
    <w:uiPriority w:val="99"/>
    <w:semiHidden/>
    <w:rsid w:val="00635F1B"/>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4" ma:contentTypeDescription="Create a new document." ma:contentTypeScope="" ma:versionID="4d971ec6017cc44319eb11f3da745f42">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65ac827b34482c55b40886a0f96a883a"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141C5-F42F-4790-B195-C59A03C73702}">
  <ds:schemaRefs>
    <ds:schemaRef ds:uri="http://schemas.microsoft.com/office/2006/metadata/properties"/>
    <ds:schemaRef ds:uri="http://schemas.microsoft.com/office/infopath/2007/PartnerControls"/>
    <ds:schemaRef ds:uri="0441d56f-6ca1-4d16-908f-d9eaae11fece"/>
    <ds:schemaRef ds:uri="db4b35ea-5a1b-4390-964d-1c6847989529"/>
  </ds:schemaRefs>
</ds:datastoreItem>
</file>

<file path=customXml/itemProps2.xml><?xml version="1.0" encoding="utf-8"?>
<ds:datastoreItem xmlns:ds="http://schemas.openxmlformats.org/officeDocument/2006/customXml" ds:itemID="{3D64A3AC-9036-4D17-B8FD-A9355E0F1458}">
  <ds:schemaRefs>
    <ds:schemaRef ds:uri="http://schemas.microsoft.com/sharepoint/v3/contenttype/forms"/>
  </ds:schemaRefs>
</ds:datastoreItem>
</file>

<file path=customXml/itemProps3.xml><?xml version="1.0" encoding="utf-8"?>
<ds:datastoreItem xmlns:ds="http://schemas.openxmlformats.org/officeDocument/2006/customXml" ds:itemID="{6CE54C6B-918E-4C34-8D6A-6B603A4CD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4430</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Schedule F_PCP_AcceptingNewPatients_RY2025</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F_PCP_AcceptingNewPatients_RY2025</dc:title>
  <dc:subject/>
  <dc:creator/>
  <cp:keywords/>
  <dc:description/>
  <cp:lastModifiedBy>Lopez1, Greg@DMHC</cp:lastModifiedBy>
  <cp:revision>3</cp:revision>
  <dcterms:created xsi:type="dcterms:W3CDTF">2024-11-13T18:51:00Z</dcterms:created>
  <dcterms:modified xsi:type="dcterms:W3CDTF">2024-12-04T15:25:00Z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ies>
</file>