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98797" w14:textId="77777777" w:rsidR="004F6CD8" w:rsidRDefault="004F6CD8" w:rsidP="00926960">
      <w:pPr>
        <w:pStyle w:val="Date"/>
        <w:tabs>
          <w:tab w:val="left" w:pos="3990"/>
        </w:tabs>
        <w:spacing w:before="1320" w:after="480" w:line="240" w:lineRule="auto"/>
        <w:jc w:val="left"/>
        <w:rPr>
          <w:rFonts w:cs="Arial"/>
          <w:sz w:val="24"/>
        </w:rPr>
      </w:pPr>
    </w:p>
    <w:p w14:paraId="0FC3AF34" w14:textId="77777777" w:rsidR="006E41CA" w:rsidRPr="00365557" w:rsidRDefault="006E41CA" w:rsidP="00365557">
      <w:pPr>
        <w:pStyle w:val="Heading1"/>
        <w:spacing w:after="240"/>
        <w:ind w:left="634" w:hanging="634"/>
        <w:rPr>
          <w:rFonts w:ascii="Arial" w:hAnsi="Arial" w:cs="Arial"/>
          <w:b/>
          <w:bCs/>
          <w:sz w:val="28"/>
          <w:szCs w:val="28"/>
        </w:rPr>
      </w:pPr>
      <w:r w:rsidRPr="00365557">
        <w:rPr>
          <w:rFonts w:ascii="Arial" w:hAnsi="Arial" w:cs="Arial"/>
          <w:b/>
          <w:bCs/>
          <w:sz w:val="28"/>
          <w:szCs w:val="28"/>
        </w:rPr>
        <w:t>Frequently Asked Questions</w:t>
      </w:r>
    </w:p>
    <w:p w14:paraId="612519C2" w14:textId="086E39F6" w:rsidR="006E41CA" w:rsidRPr="00FC3D50" w:rsidRDefault="006E41CA" w:rsidP="006E41CA">
      <w:pPr>
        <w:spacing w:after="600"/>
        <w:rPr>
          <w:rFonts w:ascii="Arial" w:hAnsi="Arial" w:cs="Arial"/>
          <w:sz w:val="24"/>
          <w:szCs w:val="24"/>
        </w:rPr>
      </w:pPr>
      <w:r w:rsidRPr="00307373">
        <w:rPr>
          <w:rFonts w:ascii="Arial" w:hAnsi="Arial" w:cs="Arial"/>
          <w:sz w:val="24"/>
          <w:szCs w:val="24"/>
        </w:rPr>
        <w:t xml:space="preserve">The Department of Managed Health Care (DMHC) has prepared frequently asked questions (FAQ) </w:t>
      </w:r>
      <w:r>
        <w:rPr>
          <w:rFonts w:ascii="Arial" w:hAnsi="Arial" w:cs="Arial"/>
          <w:sz w:val="24"/>
          <w:szCs w:val="24"/>
        </w:rPr>
        <w:t xml:space="preserve">and responses </w:t>
      </w:r>
      <w:r w:rsidRPr="00FC3D50">
        <w:rPr>
          <w:rFonts w:ascii="Arial" w:hAnsi="Arial" w:cs="Arial"/>
          <w:sz w:val="24"/>
          <w:szCs w:val="24"/>
        </w:rPr>
        <w:t>arising from stakeholder comments, and pertinent to the amendments to Rule 1300.67.2</w:t>
      </w:r>
      <w:r>
        <w:rPr>
          <w:rFonts w:ascii="Arial" w:hAnsi="Arial" w:cs="Arial"/>
          <w:sz w:val="24"/>
          <w:szCs w:val="24"/>
        </w:rPr>
        <w:t>.2</w:t>
      </w:r>
      <w:r w:rsidRPr="00FC3D50">
        <w:rPr>
          <w:rFonts w:ascii="Arial" w:hAnsi="Arial" w:cs="Arial"/>
          <w:sz w:val="24"/>
          <w:szCs w:val="24"/>
        </w:rPr>
        <w:t xml:space="preserve"> and Incorporated Documents, as noticed in APL 2</w:t>
      </w:r>
      <w:r>
        <w:rPr>
          <w:rFonts w:ascii="Arial" w:hAnsi="Arial" w:cs="Arial"/>
          <w:sz w:val="24"/>
          <w:szCs w:val="24"/>
        </w:rPr>
        <w:t>4</w:t>
      </w:r>
      <w:r w:rsidRPr="00FC3D50">
        <w:rPr>
          <w:rFonts w:ascii="Arial" w:hAnsi="Arial" w:cs="Arial"/>
          <w:sz w:val="24"/>
          <w:szCs w:val="24"/>
        </w:rPr>
        <w:t>-</w:t>
      </w:r>
      <w:r w:rsidR="003238EE">
        <w:rPr>
          <w:rFonts w:ascii="Arial" w:hAnsi="Arial" w:cs="Arial"/>
          <w:sz w:val="24"/>
          <w:szCs w:val="24"/>
        </w:rPr>
        <w:t>019</w:t>
      </w:r>
      <w:r w:rsidR="002F61AF">
        <w:rPr>
          <w:rFonts w:ascii="Arial" w:hAnsi="Arial" w:cs="Arial"/>
          <w:sz w:val="24"/>
          <w:szCs w:val="24"/>
        </w:rPr>
        <w:t xml:space="preserve"> (October 30, 2024)</w:t>
      </w:r>
      <w:r w:rsidR="00173C50">
        <w:rPr>
          <w:rFonts w:ascii="Arial" w:hAnsi="Arial" w:cs="Arial"/>
          <w:sz w:val="24"/>
          <w:szCs w:val="24"/>
        </w:rPr>
        <w:t>. This includes</w:t>
      </w:r>
      <w:r w:rsidR="00585CC6">
        <w:rPr>
          <w:rFonts w:ascii="Arial" w:hAnsi="Arial" w:cs="Arial"/>
          <w:sz w:val="24"/>
          <w:szCs w:val="24"/>
        </w:rPr>
        <w:t xml:space="preserve"> Amendments to Rule 1300.67.2.2 </w:t>
      </w:r>
      <w:r w:rsidR="00585CC6" w:rsidRPr="00D80720">
        <w:rPr>
          <w:rFonts w:ascii="Arial" w:hAnsi="Arial" w:cs="Arial"/>
          <w:sz w:val="24"/>
          <w:szCs w:val="24"/>
        </w:rPr>
        <w:t>and the Incorporated Annual Network Submission Instruction Manual and Annual Network Report Forms for Reporting Year 2025</w:t>
      </w:r>
      <w:r w:rsidRPr="00585CC6">
        <w:rPr>
          <w:rFonts w:ascii="Arial" w:hAnsi="Arial" w:cs="Arial"/>
          <w:sz w:val="24"/>
          <w:szCs w:val="24"/>
        </w:rPr>
        <w:t>.</w:t>
      </w:r>
    </w:p>
    <w:p w14:paraId="675A0655" w14:textId="59D97C9E" w:rsidR="00CD7255" w:rsidRPr="00CD7255" w:rsidRDefault="006E41CA" w:rsidP="00CD7255">
      <w:pPr>
        <w:pStyle w:val="AccessibleHeader"/>
        <w:spacing w:before="0"/>
        <w:rPr>
          <w:b w:val="0"/>
        </w:rPr>
      </w:pPr>
      <w:r w:rsidRPr="00FC3D50">
        <w:t>General FAQ Responses:</w:t>
      </w:r>
    </w:p>
    <w:p w14:paraId="03B1E970" w14:textId="77777777" w:rsidR="00CD7255" w:rsidRPr="00D80720" w:rsidRDefault="007A6F6F" w:rsidP="00CD7255">
      <w:pPr>
        <w:numPr>
          <w:ilvl w:val="0"/>
          <w:numId w:val="21"/>
        </w:numPr>
        <w:spacing w:after="240"/>
        <w:rPr>
          <w:rFonts w:ascii="Arial" w:hAnsi="Arial" w:cs="Arial"/>
          <w:sz w:val="24"/>
          <w:szCs w:val="24"/>
        </w:rPr>
      </w:pPr>
      <w:r w:rsidRPr="002D71D4">
        <w:rPr>
          <w:rFonts w:ascii="Arial" w:hAnsi="Arial" w:cs="Arial"/>
          <w:b/>
          <w:bCs/>
          <w:sz w:val="24"/>
          <w:szCs w:val="24"/>
        </w:rPr>
        <w:t>The network capture date for the Annual Network Report is January 15</w:t>
      </w:r>
      <w:r w:rsidR="002B59E2" w:rsidRPr="002B59E2">
        <w:rPr>
          <w:rFonts w:ascii="Arial" w:hAnsi="Arial" w:cs="Arial"/>
          <w:b/>
          <w:bCs/>
          <w:sz w:val="24"/>
          <w:szCs w:val="24"/>
          <w:vertAlign w:val="superscript"/>
        </w:rPr>
        <w:t>th</w:t>
      </w:r>
      <w:r w:rsidRPr="002D71D4">
        <w:rPr>
          <w:rFonts w:ascii="Arial" w:hAnsi="Arial" w:cs="Arial"/>
          <w:b/>
          <w:bCs/>
          <w:sz w:val="24"/>
          <w:szCs w:val="24"/>
        </w:rPr>
        <w:t xml:space="preserve"> of the reporting year. Can a </w:t>
      </w:r>
      <w:r w:rsidR="0070577D">
        <w:rPr>
          <w:rFonts w:ascii="Arial" w:hAnsi="Arial" w:cs="Arial"/>
          <w:b/>
          <w:bCs/>
          <w:sz w:val="24"/>
          <w:szCs w:val="24"/>
        </w:rPr>
        <w:t xml:space="preserve">health </w:t>
      </w:r>
      <w:r w:rsidRPr="002D71D4">
        <w:rPr>
          <w:rFonts w:ascii="Arial" w:hAnsi="Arial" w:cs="Arial"/>
          <w:b/>
          <w:bCs/>
          <w:sz w:val="24"/>
          <w:szCs w:val="24"/>
        </w:rPr>
        <w:t xml:space="preserve">plan </w:t>
      </w:r>
      <w:r w:rsidR="0070577D">
        <w:rPr>
          <w:rFonts w:ascii="Arial" w:hAnsi="Arial" w:cs="Arial"/>
          <w:b/>
          <w:bCs/>
          <w:sz w:val="24"/>
          <w:szCs w:val="24"/>
        </w:rPr>
        <w:t>collect</w:t>
      </w:r>
      <w:r w:rsidRPr="002D71D4">
        <w:rPr>
          <w:rFonts w:ascii="Arial" w:hAnsi="Arial" w:cs="Arial"/>
          <w:b/>
          <w:bCs/>
          <w:sz w:val="24"/>
          <w:szCs w:val="24"/>
        </w:rPr>
        <w:t xml:space="preserve"> network data after January 15</w:t>
      </w:r>
      <w:r w:rsidR="002B59E2" w:rsidRPr="002B59E2">
        <w:rPr>
          <w:rFonts w:ascii="Arial" w:hAnsi="Arial" w:cs="Arial"/>
          <w:b/>
          <w:bCs/>
          <w:sz w:val="24"/>
          <w:szCs w:val="24"/>
          <w:vertAlign w:val="superscript"/>
        </w:rPr>
        <w:t>th</w:t>
      </w:r>
      <w:r w:rsidRPr="002D71D4">
        <w:rPr>
          <w:rFonts w:ascii="Arial" w:hAnsi="Arial" w:cs="Arial"/>
          <w:b/>
          <w:bCs/>
          <w:sz w:val="24"/>
          <w:szCs w:val="24"/>
        </w:rPr>
        <w:t xml:space="preserve"> so long as the plan ensures the network data reflects the network as it existed on January 15</w:t>
      </w:r>
      <w:r w:rsidRPr="002D71D4">
        <w:rPr>
          <w:rFonts w:ascii="Arial" w:hAnsi="Arial" w:cs="Arial"/>
          <w:b/>
          <w:bCs/>
          <w:sz w:val="24"/>
          <w:szCs w:val="24"/>
          <w:vertAlign w:val="superscript"/>
        </w:rPr>
        <w:t>th</w:t>
      </w:r>
      <w:r w:rsidRPr="00D80720">
        <w:rPr>
          <w:rFonts w:ascii="Arial" w:hAnsi="Arial" w:cs="Arial"/>
          <w:b/>
          <w:bCs/>
          <w:sz w:val="24"/>
          <w:szCs w:val="24"/>
        </w:rPr>
        <w:t>?</w:t>
      </w:r>
    </w:p>
    <w:p w14:paraId="5B551925" w14:textId="77777777" w:rsidR="00127DF7" w:rsidRPr="00D80720" w:rsidRDefault="00BD6872" w:rsidP="00D80720">
      <w:pPr>
        <w:spacing w:after="240"/>
        <w:ind w:left="720"/>
        <w:rPr>
          <w:rFonts w:ascii="Arial" w:hAnsi="Arial" w:cs="Arial"/>
          <w:sz w:val="24"/>
          <w:szCs w:val="24"/>
        </w:rPr>
      </w:pPr>
      <w:r w:rsidRPr="00EF4961">
        <w:rPr>
          <w:rFonts w:ascii="Arial" w:hAnsi="Arial" w:cs="Arial"/>
          <w:sz w:val="24"/>
          <w:szCs w:val="24"/>
        </w:rPr>
        <w:t xml:space="preserve">The </w:t>
      </w:r>
      <w:r>
        <w:rPr>
          <w:rFonts w:ascii="Arial" w:hAnsi="Arial" w:cs="Arial"/>
          <w:sz w:val="24"/>
          <w:szCs w:val="24"/>
        </w:rPr>
        <w:t xml:space="preserve">health </w:t>
      </w:r>
      <w:r w:rsidRPr="00EF4961">
        <w:rPr>
          <w:rFonts w:ascii="Arial" w:hAnsi="Arial" w:cs="Arial"/>
          <w:sz w:val="24"/>
          <w:szCs w:val="24"/>
        </w:rPr>
        <w:t xml:space="preserve">plan may </w:t>
      </w:r>
      <w:r>
        <w:rPr>
          <w:rFonts w:ascii="Arial" w:hAnsi="Arial" w:cs="Arial"/>
          <w:sz w:val="24"/>
          <w:szCs w:val="24"/>
        </w:rPr>
        <w:t xml:space="preserve">collect </w:t>
      </w:r>
      <w:r w:rsidRPr="00EF4961">
        <w:rPr>
          <w:rFonts w:ascii="Arial" w:hAnsi="Arial" w:cs="Arial"/>
          <w:sz w:val="24"/>
          <w:szCs w:val="24"/>
        </w:rPr>
        <w:t>the relevant network data after January 15</w:t>
      </w:r>
      <w:r w:rsidRPr="002B59E2">
        <w:rPr>
          <w:rFonts w:ascii="Arial" w:hAnsi="Arial" w:cs="Arial"/>
          <w:sz w:val="24"/>
          <w:szCs w:val="24"/>
          <w:vertAlign w:val="superscript"/>
        </w:rPr>
        <w:t>th</w:t>
      </w:r>
      <w:r w:rsidRPr="00EF4961">
        <w:rPr>
          <w:rFonts w:ascii="Arial" w:hAnsi="Arial" w:cs="Arial"/>
          <w:sz w:val="24"/>
          <w:szCs w:val="24"/>
        </w:rPr>
        <w:t xml:space="preserve">, so long as the data submitted for </w:t>
      </w:r>
      <w:r>
        <w:rPr>
          <w:rFonts w:ascii="Arial" w:hAnsi="Arial" w:cs="Arial"/>
          <w:sz w:val="24"/>
          <w:szCs w:val="24"/>
        </w:rPr>
        <w:t xml:space="preserve">the </w:t>
      </w:r>
      <w:r w:rsidRPr="00EF4961">
        <w:rPr>
          <w:rFonts w:ascii="Arial" w:hAnsi="Arial" w:cs="Arial"/>
          <w:sz w:val="24"/>
          <w:szCs w:val="24"/>
        </w:rPr>
        <w:t>Annual Network Report reflects the January 15</w:t>
      </w:r>
      <w:r w:rsidRPr="002B59E2">
        <w:rPr>
          <w:rFonts w:ascii="Arial" w:hAnsi="Arial" w:cs="Arial"/>
          <w:sz w:val="24"/>
          <w:szCs w:val="24"/>
          <w:vertAlign w:val="superscript"/>
        </w:rPr>
        <w:t>th</w:t>
      </w:r>
      <w:r w:rsidRPr="00EF4961">
        <w:rPr>
          <w:rFonts w:ascii="Arial" w:hAnsi="Arial" w:cs="Arial"/>
          <w:sz w:val="24"/>
          <w:szCs w:val="24"/>
        </w:rPr>
        <w:t xml:space="preserve"> network capture date, when applicable</w:t>
      </w:r>
      <w:r>
        <w:rPr>
          <w:rFonts w:ascii="Arial" w:hAnsi="Arial" w:cs="Arial"/>
          <w:sz w:val="24"/>
          <w:szCs w:val="24"/>
        </w:rPr>
        <w:t xml:space="preserve">. </w:t>
      </w:r>
      <w:r w:rsidR="00127DF7">
        <w:rPr>
          <w:rFonts w:ascii="Arial" w:hAnsi="Arial" w:cs="Arial"/>
          <w:sz w:val="24"/>
          <w:szCs w:val="24"/>
        </w:rPr>
        <w:t>F</w:t>
      </w:r>
      <w:r w:rsidR="00127DF7" w:rsidRPr="00EF4961">
        <w:rPr>
          <w:rFonts w:ascii="Arial" w:hAnsi="Arial" w:cs="Arial"/>
          <w:sz w:val="24"/>
          <w:szCs w:val="24"/>
        </w:rPr>
        <w:t xml:space="preserve">or the Annual Network Report, the network data submitted to the </w:t>
      </w:r>
      <w:r w:rsidR="00127DF7">
        <w:rPr>
          <w:rFonts w:ascii="Arial" w:hAnsi="Arial" w:cs="Arial"/>
          <w:sz w:val="24"/>
          <w:szCs w:val="24"/>
        </w:rPr>
        <w:t>DMHC</w:t>
      </w:r>
      <w:r w:rsidR="00127DF7" w:rsidRPr="00EF4961">
        <w:rPr>
          <w:rFonts w:ascii="Arial" w:hAnsi="Arial" w:cs="Arial"/>
          <w:sz w:val="24"/>
          <w:szCs w:val="24"/>
        </w:rPr>
        <w:t xml:space="preserve"> must reflect the </w:t>
      </w:r>
      <w:r w:rsidR="00127DF7">
        <w:rPr>
          <w:rFonts w:ascii="Arial" w:hAnsi="Arial" w:cs="Arial"/>
          <w:sz w:val="24"/>
          <w:szCs w:val="24"/>
        </w:rPr>
        <w:t xml:space="preserve">health </w:t>
      </w:r>
      <w:r w:rsidR="00127DF7" w:rsidRPr="00EF4961">
        <w:rPr>
          <w:rFonts w:ascii="Arial" w:hAnsi="Arial" w:cs="Arial"/>
          <w:sz w:val="24"/>
          <w:szCs w:val="24"/>
        </w:rPr>
        <w:t>plan</w:t>
      </w:r>
      <w:r w:rsidR="00D80720">
        <w:rPr>
          <w:rFonts w:ascii="Arial" w:hAnsi="Arial" w:cs="Arial"/>
          <w:sz w:val="24"/>
          <w:szCs w:val="24"/>
        </w:rPr>
        <w:t>’</w:t>
      </w:r>
      <w:r w:rsidR="00127DF7" w:rsidRPr="00EF4961">
        <w:rPr>
          <w:rFonts w:ascii="Arial" w:hAnsi="Arial" w:cs="Arial"/>
          <w:sz w:val="24"/>
          <w:szCs w:val="24"/>
        </w:rPr>
        <w:t>s network as it existed on January 15</w:t>
      </w:r>
      <w:r w:rsidR="00127DF7" w:rsidRPr="002B59E2">
        <w:rPr>
          <w:rFonts w:ascii="Arial" w:hAnsi="Arial" w:cs="Arial"/>
          <w:sz w:val="24"/>
          <w:szCs w:val="24"/>
          <w:vertAlign w:val="superscript"/>
        </w:rPr>
        <w:t>th</w:t>
      </w:r>
      <w:r w:rsidR="00127DF7" w:rsidRPr="00EF4961">
        <w:rPr>
          <w:rFonts w:ascii="Arial" w:hAnsi="Arial" w:cs="Arial"/>
          <w:sz w:val="24"/>
          <w:szCs w:val="24"/>
        </w:rPr>
        <w:t xml:space="preserve"> of the reporting year, unless otherwise specified in the Rule or reporting instructions. It is the plan</w:t>
      </w:r>
      <w:r w:rsidR="00D80720">
        <w:rPr>
          <w:rFonts w:ascii="Arial" w:hAnsi="Arial" w:cs="Arial"/>
          <w:sz w:val="24"/>
          <w:szCs w:val="24"/>
        </w:rPr>
        <w:t>’</w:t>
      </w:r>
      <w:r w:rsidR="00127DF7" w:rsidRPr="00EF4961">
        <w:rPr>
          <w:rFonts w:ascii="Arial" w:hAnsi="Arial" w:cs="Arial"/>
          <w:sz w:val="24"/>
          <w:szCs w:val="24"/>
        </w:rPr>
        <w:t xml:space="preserve">s responsibility to ensure the network data it submits to the </w:t>
      </w:r>
      <w:r w:rsidR="00127DF7">
        <w:rPr>
          <w:rFonts w:ascii="Arial" w:hAnsi="Arial" w:cs="Arial"/>
          <w:sz w:val="24"/>
          <w:szCs w:val="24"/>
        </w:rPr>
        <w:t>DMHC</w:t>
      </w:r>
      <w:r w:rsidR="00127DF7" w:rsidRPr="00EF4961">
        <w:rPr>
          <w:rFonts w:ascii="Arial" w:hAnsi="Arial" w:cs="Arial"/>
          <w:sz w:val="24"/>
          <w:szCs w:val="24"/>
        </w:rPr>
        <w:t xml:space="preserve"> accurately reflects the</w:t>
      </w:r>
      <w:r w:rsidR="00127DF7">
        <w:rPr>
          <w:rFonts w:ascii="Arial" w:hAnsi="Arial" w:cs="Arial"/>
          <w:sz w:val="24"/>
          <w:szCs w:val="24"/>
        </w:rPr>
        <w:t xml:space="preserve"> </w:t>
      </w:r>
      <w:r w:rsidR="00127DF7" w:rsidRPr="00EF4961">
        <w:rPr>
          <w:rFonts w:ascii="Arial" w:hAnsi="Arial" w:cs="Arial"/>
          <w:sz w:val="24"/>
          <w:szCs w:val="24"/>
        </w:rPr>
        <w:t>network as of the applicable network capture date.</w:t>
      </w:r>
    </w:p>
    <w:p w14:paraId="6AB287C4" w14:textId="77777777" w:rsidR="00127DF7" w:rsidRPr="007A6F6F" w:rsidRDefault="00D80720" w:rsidP="00CD7255">
      <w:pPr>
        <w:numPr>
          <w:ilvl w:val="0"/>
          <w:numId w:val="21"/>
        </w:numPr>
        <w:spacing w:after="240"/>
        <w:rPr>
          <w:rFonts w:ascii="Arial" w:hAnsi="Arial" w:cs="Arial"/>
          <w:sz w:val="24"/>
          <w:szCs w:val="24"/>
        </w:rPr>
      </w:pPr>
      <w:r w:rsidRPr="00D80720">
        <w:rPr>
          <w:rFonts w:ascii="Arial" w:hAnsi="Arial" w:cs="Arial"/>
          <w:b/>
          <w:bCs/>
          <w:sz w:val="24"/>
          <w:szCs w:val="24"/>
        </w:rPr>
        <w:t>In the Annual Network Submission Instruction Manual for RY 2025, Sections III. and IV. of the Manual are the former Timely Access sections. These sections are noted as “Reserved.” Will the Department be releasing Timely Access Reporting Information</w:t>
      </w:r>
      <w:r>
        <w:rPr>
          <w:rFonts w:ascii="Arial" w:hAnsi="Arial" w:cs="Arial"/>
          <w:b/>
          <w:bCs/>
          <w:sz w:val="24"/>
          <w:szCs w:val="24"/>
        </w:rPr>
        <w:t>?</w:t>
      </w:r>
    </w:p>
    <w:p w14:paraId="5E0F568C" w14:textId="77777777" w:rsidR="00BD6872" w:rsidRDefault="00BD6872" w:rsidP="00D80720">
      <w:pPr>
        <w:spacing w:after="240"/>
        <w:ind w:left="720"/>
        <w:rPr>
          <w:rFonts w:ascii="Arial" w:hAnsi="Arial" w:cs="Arial"/>
          <w:sz w:val="24"/>
          <w:szCs w:val="24"/>
        </w:rPr>
      </w:pPr>
      <w:r w:rsidRPr="00D80720">
        <w:rPr>
          <w:rFonts w:ascii="Arial" w:hAnsi="Arial" w:cs="Arial"/>
          <w:sz w:val="24"/>
          <w:szCs w:val="24"/>
        </w:rPr>
        <w:t xml:space="preserve">The RY 2025/MY 2024 Timely Access Submission Instruction Manual and Provider Appointment Availability Survey Manual were issued to health plans in advance of the 2024 measurement year on December 22, 2023. The RY 2025 Annual Network Submission </w:t>
      </w:r>
      <w:r>
        <w:rPr>
          <w:rFonts w:ascii="Arial" w:hAnsi="Arial" w:cs="Arial"/>
          <w:sz w:val="24"/>
          <w:szCs w:val="24"/>
        </w:rPr>
        <w:t xml:space="preserve">Instruction </w:t>
      </w:r>
      <w:r w:rsidRPr="00D80720">
        <w:rPr>
          <w:rFonts w:ascii="Arial" w:hAnsi="Arial" w:cs="Arial"/>
          <w:sz w:val="24"/>
          <w:szCs w:val="24"/>
        </w:rPr>
        <w:t>Manual was recently circulated for stakeholder feedback in anticipation of publication prior to reporting year 2025.</w:t>
      </w:r>
    </w:p>
    <w:p w14:paraId="0D782BBA" w14:textId="77777777" w:rsidR="00D80720" w:rsidRPr="00D80720" w:rsidRDefault="00D80720" w:rsidP="006D06CA">
      <w:pPr>
        <w:keepLines/>
        <w:spacing w:after="240"/>
        <w:ind w:left="720"/>
        <w:rPr>
          <w:rFonts w:ascii="Arial" w:hAnsi="Arial" w:cs="Arial"/>
          <w:sz w:val="24"/>
          <w:szCs w:val="24"/>
        </w:rPr>
      </w:pPr>
      <w:r w:rsidRPr="00D80720">
        <w:rPr>
          <w:rFonts w:ascii="Arial" w:hAnsi="Arial" w:cs="Arial"/>
          <w:sz w:val="24"/>
          <w:szCs w:val="24"/>
        </w:rPr>
        <w:lastRenderedPageBreak/>
        <w:t>The Timely Access Submission Instruction Manual and the Annual Network Submission Instruction Manual are two separate manuals that provide instructions on how to submit the Timely Access Compliance Report and Annual Network Report, respectively, as set forth in Rules 1300.67.2.2(h)(6) and (7). These two Instruction Manuals were originally a single manual that was incorporated by reference into Rule 1300.67.2.2 (April 1, 2022). The Department revised the manuals into two separate manuals due to timing concerns related to the Timely Access Compliance Report measurement year and amendments to the law. This change is reflected in the amendments to Rule 1300.67.2.2, effective April 25, 2023. For further information, please see APL 23-020 (October 26, 2023) and attached documents.</w:t>
      </w:r>
    </w:p>
    <w:p w14:paraId="56324381" w14:textId="77777777" w:rsidR="001720B8" w:rsidRPr="001720B8" w:rsidRDefault="001720B8" w:rsidP="00D80720">
      <w:pPr>
        <w:numPr>
          <w:ilvl w:val="0"/>
          <w:numId w:val="21"/>
        </w:numPr>
        <w:spacing w:after="240"/>
        <w:rPr>
          <w:rFonts w:ascii="Arial" w:hAnsi="Arial" w:cs="Arial"/>
          <w:b/>
          <w:bCs/>
          <w:sz w:val="24"/>
          <w:szCs w:val="24"/>
        </w:rPr>
      </w:pPr>
      <w:r w:rsidRPr="001720B8">
        <w:rPr>
          <w:rFonts w:ascii="Arial" w:hAnsi="Arial" w:cs="Arial"/>
          <w:b/>
          <w:bCs/>
          <w:sz w:val="24"/>
          <w:szCs w:val="24"/>
        </w:rPr>
        <w:t xml:space="preserve">The DMHC added the following Mental Health Professional License and Certificate Types to Appendix D of the Annual Network Submission Instruction Manual for Reporting Year 2025: </w:t>
      </w:r>
      <w:r>
        <w:rPr>
          <w:rFonts w:ascii="Arial" w:hAnsi="Arial" w:cs="Arial"/>
          <w:b/>
          <w:bCs/>
          <w:sz w:val="24"/>
          <w:szCs w:val="24"/>
        </w:rPr>
        <w:t>a</w:t>
      </w:r>
      <w:r w:rsidRPr="001720B8">
        <w:rPr>
          <w:rFonts w:ascii="Arial" w:hAnsi="Arial" w:cs="Arial"/>
          <w:b/>
          <w:bCs/>
          <w:sz w:val="24"/>
          <w:szCs w:val="24"/>
        </w:rPr>
        <w:t xml:space="preserve">ssociate </w:t>
      </w:r>
      <w:r>
        <w:rPr>
          <w:rFonts w:ascii="Arial" w:hAnsi="Arial" w:cs="Arial"/>
          <w:b/>
          <w:bCs/>
          <w:sz w:val="24"/>
          <w:szCs w:val="24"/>
        </w:rPr>
        <w:t>c</w:t>
      </w:r>
      <w:r w:rsidRPr="001720B8">
        <w:rPr>
          <w:rFonts w:ascii="Arial" w:hAnsi="Arial" w:cs="Arial"/>
          <w:b/>
          <w:bCs/>
          <w:sz w:val="24"/>
          <w:szCs w:val="24"/>
        </w:rPr>
        <w:t xml:space="preserve">linical </w:t>
      </w:r>
      <w:r>
        <w:rPr>
          <w:rFonts w:ascii="Arial" w:hAnsi="Arial" w:cs="Arial"/>
          <w:b/>
          <w:bCs/>
          <w:sz w:val="24"/>
          <w:szCs w:val="24"/>
        </w:rPr>
        <w:t>s</w:t>
      </w:r>
      <w:r w:rsidRPr="001720B8">
        <w:rPr>
          <w:rFonts w:ascii="Arial" w:hAnsi="Arial" w:cs="Arial"/>
          <w:b/>
          <w:bCs/>
          <w:sz w:val="24"/>
          <w:szCs w:val="24"/>
        </w:rPr>
        <w:t xml:space="preserve">ocial </w:t>
      </w:r>
      <w:r>
        <w:rPr>
          <w:rFonts w:ascii="Arial" w:hAnsi="Arial" w:cs="Arial"/>
          <w:b/>
          <w:bCs/>
          <w:sz w:val="24"/>
          <w:szCs w:val="24"/>
        </w:rPr>
        <w:t>w</w:t>
      </w:r>
      <w:r w:rsidRPr="001720B8">
        <w:rPr>
          <w:rFonts w:ascii="Arial" w:hAnsi="Arial" w:cs="Arial"/>
          <w:b/>
          <w:bCs/>
          <w:sz w:val="24"/>
          <w:szCs w:val="24"/>
        </w:rPr>
        <w:t xml:space="preserve">orker, </w:t>
      </w:r>
      <w:r>
        <w:rPr>
          <w:rFonts w:ascii="Arial" w:hAnsi="Arial" w:cs="Arial"/>
          <w:b/>
          <w:bCs/>
          <w:sz w:val="24"/>
          <w:szCs w:val="24"/>
        </w:rPr>
        <w:t>a</w:t>
      </w:r>
      <w:r w:rsidRPr="001720B8">
        <w:rPr>
          <w:rFonts w:ascii="Arial" w:hAnsi="Arial" w:cs="Arial"/>
          <w:b/>
          <w:bCs/>
          <w:sz w:val="24"/>
          <w:szCs w:val="24"/>
        </w:rPr>
        <w:t xml:space="preserve">ssociate </w:t>
      </w:r>
      <w:r>
        <w:rPr>
          <w:rFonts w:ascii="Arial" w:hAnsi="Arial" w:cs="Arial"/>
          <w:b/>
          <w:bCs/>
          <w:sz w:val="24"/>
          <w:szCs w:val="24"/>
        </w:rPr>
        <w:t>m</w:t>
      </w:r>
      <w:r w:rsidRPr="001720B8">
        <w:rPr>
          <w:rFonts w:ascii="Arial" w:hAnsi="Arial" w:cs="Arial"/>
          <w:b/>
          <w:bCs/>
          <w:sz w:val="24"/>
          <w:szCs w:val="24"/>
        </w:rPr>
        <w:t xml:space="preserve">arriage and </w:t>
      </w:r>
      <w:r>
        <w:rPr>
          <w:rFonts w:ascii="Arial" w:hAnsi="Arial" w:cs="Arial"/>
          <w:b/>
          <w:bCs/>
          <w:sz w:val="24"/>
          <w:szCs w:val="24"/>
        </w:rPr>
        <w:t>f</w:t>
      </w:r>
      <w:r w:rsidRPr="001720B8">
        <w:rPr>
          <w:rFonts w:ascii="Arial" w:hAnsi="Arial" w:cs="Arial"/>
          <w:b/>
          <w:bCs/>
          <w:sz w:val="24"/>
          <w:szCs w:val="24"/>
        </w:rPr>
        <w:t xml:space="preserve">amily </w:t>
      </w:r>
      <w:r>
        <w:rPr>
          <w:rFonts w:ascii="Arial" w:hAnsi="Arial" w:cs="Arial"/>
          <w:b/>
          <w:bCs/>
          <w:sz w:val="24"/>
          <w:szCs w:val="24"/>
        </w:rPr>
        <w:t>t</w:t>
      </w:r>
      <w:r w:rsidRPr="001720B8">
        <w:rPr>
          <w:rFonts w:ascii="Arial" w:hAnsi="Arial" w:cs="Arial"/>
          <w:b/>
          <w:bCs/>
          <w:sz w:val="24"/>
          <w:szCs w:val="24"/>
        </w:rPr>
        <w:t xml:space="preserve">herapist, </w:t>
      </w:r>
      <w:r>
        <w:rPr>
          <w:rFonts w:ascii="Arial" w:hAnsi="Arial" w:cs="Arial"/>
          <w:b/>
          <w:bCs/>
          <w:sz w:val="24"/>
          <w:szCs w:val="24"/>
        </w:rPr>
        <w:t>a</w:t>
      </w:r>
      <w:r w:rsidRPr="001720B8">
        <w:rPr>
          <w:rFonts w:ascii="Arial" w:hAnsi="Arial" w:cs="Arial"/>
          <w:b/>
          <w:bCs/>
          <w:sz w:val="24"/>
          <w:szCs w:val="24"/>
        </w:rPr>
        <w:t xml:space="preserve">ssociate </w:t>
      </w:r>
      <w:r>
        <w:rPr>
          <w:rFonts w:ascii="Arial" w:hAnsi="Arial" w:cs="Arial"/>
          <w:b/>
          <w:bCs/>
          <w:sz w:val="24"/>
          <w:szCs w:val="24"/>
        </w:rPr>
        <w:t>p</w:t>
      </w:r>
      <w:r w:rsidRPr="001720B8">
        <w:rPr>
          <w:rFonts w:ascii="Arial" w:hAnsi="Arial" w:cs="Arial"/>
          <w:b/>
          <w:bCs/>
          <w:sz w:val="24"/>
          <w:szCs w:val="24"/>
        </w:rPr>
        <w:t xml:space="preserve">rofessional </w:t>
      </w:r>
      <w:r>
        <w:rPr>
          <w:rFonts w:ascii="Arial" w:hAnsi="Arial" w:cs="Arial"/>
          <w:b/>
          <w:bCs/>
          <w:sz w:val="24"/>
          <w:szCs w:val="24"/>
        </w:rPr>
        <w:t>c</w:t>
      </w:r>
      <w:r w:rsidRPr="001720B8">
        <w:rPr>
          <w:rFonts w:ascii="Arial" w:hAnsi="Arial" w:cs="Arial"/>
          <w:b/>
          <w:bCs/>
          <w:sz w:val="24"/>
          <w:szCs w:val="24"/>
        </w:rPr>
        <w:t xml:space="preserve">linical </w:t>
      </w:r>
      <w:r>
        <w:rPr>
          <w:rFonts w:ascii="Arial" w:hAnsi="Arial" w:cs="Arial"/>
          <w:b/>
          <w:bCs/>
          <w:sz w:val="24"/>
          <w:szCs w:val="24"/>
        </w:rPr>
        <w:t>c</w:t>
      </w:r>
      <w:r w:rsidRPr="001720B8">
        <w:rPr>
          <w:rFonts w:ascii="Arial" w:hAnsi="Arial" w:cs="Arial"/>
          <w:b/>
          <w:bCs/>
          <w:sz w:val="24"/>
          <w:szCs w:val="24"/>
        </w:rPr>
        <w:t xml:space="preserve">ounselor, </w:t>
      </w:r>
      <w:r>
        <w:rPr>
          <w:rFonts w:ascii="Arial" w:hAnsi="Arial" w:cs="Arial"/>
          <w:b/>
          <w:bCs/>
          <w:sz w:val="24"/>
          <w:szCs w:val="24"/>
        </w:rPr>
        <w:t>r</w:t>
      </w:r>
      <w:r w:rsidRPr="001720B8">
        <w:rPr>
          <w:rFonts w:ascii="Arial" w:hAnsi="Arial" w:cs="Arial"/>
          <w:b/>
          <w:bCs/>
          <w:sz w:val="24"/>
          <w:szCs w:val="24"/>
        </w:rPr>
        <w:t xml:space="preserve">egistered </w:t>
      </w:r>
      <w:r>
        <w:rPr>
          <w:rFonts w:ascii="Arial" w:hAnsi="Arial" w:cs="Arial"/>
          <w:b/>
          <w:bCs/>
          <w:sz w:val="24"/>
          <w:szCs w:val="24"/>
        </w:rPr>
        <w:t>p</w:t>
      </w:r>
      <w:r w:rsidRPr="001720B8">
        <w:rPr>
          <w:rFonts w:ascii="Arial" w:hAnsi="Arial" w:cs="Arial"/>
          <w:b/>
          <w:bCs/>
          <w:sz w:val="24"/>
          <w:szCs w:val="24"/>
        </w:rPr>
        <w:t xml:space="preserve">sychological </w:t>
      </w:r>
      <w:r>
        <w:rPr>
          <w:rFonts w:ascii="Arial" w:hAnsi="Arial" w:cs="Arial"/>
          <w:b/>
          <w:bCs/>
          <w:sz w:val="24"/>
          <w:szCs w:val="24"/>
        </w:rPr>
        <w:t>a</w:t>
      </w:r>
      <w:r w:rsidRPr="001720B8">
        <w:rPr>
          <w:rFonts w:ascii="Arial" w:hAnsi="Arial" w:cs="Arial"/>
          <w:b/>
          <w:bCs/>
          <w:sz w:val="24"/>
          <w:szCs w:val="24"/>
        </w:rPr>
        <w:t xml:space="preserve">ssociate, and </w:t>
      </w:r>
      <w:r>
        <w:rPr>
          <w:rFonts w:ascii="Arial" w:hAnsi="Arial" w:cs="Arial"/>
          <w:b/>
          <w:bCs/>
          <w:sz w:val="24"/>
          <w:szCs w:val="24"/>
        </w:rPr>
        <w:t>t</w:t>
      </w:r>
      <w:r w:rsidRPr="001720B8">
        <w:rPr>
          <w:rFonts w:ascii="Arial" w:hAnsi="Arial" w:cs="Arial"/>
          <w:b/>
          <w:bCs/>
          <w:sz w:val="24"/>
          <w:szCs w:val="24"/>
        </w:rPr>
        <w:t xml:space="preserve">rainee. Why did the DMHC add these terms to its </w:t>
      </w:r>
      <w:r>
        <w:rPr>
          <w:rFonts w:ascii="Arial" w:hAnsi="Arial" w:cs="Arial"/>
          <w:b/>
          <w:bCs/>
          <w:sz w:val="24"/>
          <w:szCs w:val="24"/>
        </w:rPr>
        <w:t>s</w:t>
      </w:r>
      <w:r w:rsidRPr="001720B8">
        <w:rPr>
          <w:rFonts w:ascii="Arial" w:hAnsi="Arial" w:cs="Arial"/>
          <w:b/>
          <w:bCs/>
          <w:sz w:val="24"/>
          <w:szCs w:val="24"/>
        </w:rPr>
        <w:t xml:space="preserve">tandardized </w:t>
      </w:r>
      <w:r>
        <w:rPr>
          <w:rFonts w:ascii="Arial" w:hAnsi="Arial" w:cs="Arial"/>
          <w:b/>
          <w:bCs/>
          <w:sz w:val="24"/>
          <w:szCs w:val="24"/>
        </w:rPr>
        <w:t>t</w:t>
      </w:r>
      <w:r w:rsidRPr="001720B8">
        <w:rPr>
          <w:rFonts w:ascii="Arial" w:hAnsi="Arial" w:cs="Arial"/>
          <w:b/>
          <w:bCs/>
          <w:sz w:val="24"/>
          <w:szCs w:val="24"/>
        </w:rPr>
        <w:t>erminology?</w:t>
      </w:r>
    </w:p>
    <w:p w14:paraId="615489E6" w14:textId="77777777" w:rsidR="001720B8" w:rsidRPr="001720B8" w:rsidRDefault="00C55377" w:rsidP="001720B8">
      <w:pPr>
        <w:spacing w:after="240"/>
        <w:ind w:left="720"/>
        <w:rPr>
          <w:rFonts w:ascii="Arial" w:hAnsi="Arial" w:cs="Arial"/>
          <w:sz w:val="24"/>
          <w:szCs w:val="24"/>
        </w:rPr>
      </w:pPr>
      <w:r w:rsidRPr="00C55377">
        <w:rPr>
          <w:rFonts w:ascii="Arial" w:hAnsi="Arial" w:cs="Arial"/>
          <w:sz w:val="24"/>
          <w:szCs w:val="24"/>
        </w:rPr>
        <w:t>The DMHC added these terms to its standardized terminology in response to feedback, and to better align with the provider types set forth in Section 1374.72(a)(3). Plans are required to report network providers with these licensure and certificate types in the Annual Network Report submission. Plans are not required to report clinical encounter data for mental health professionals with these licensure types at this time</w:t>
      </w:r>
      <w:r>
        <w:rPr>
          <w:rFonts w:ascii="Arial" w:hAnsi="Arial" w:cs="Arial"/>
          <w:sz w:val="24"/>
          <w:szCs w:val="24"/>
        </w:rPr>
        <w:t>.</w:t>
      </w:r>
    </w:p>
    <w:p w14:paraId="033B14D3" w14:textId="77777777" w:rsidR="003174C3" w:rsidRPr="00645FAD" w:rsidRDefault="003174C3" w:rsidP="00D80720">
      <w:pPr>
        <w:numPr>
          <w:ilvl w:val="0"/>
          <w:numId w:val="21"/>
        </w:numPr>
        <w:spacing w:after="240"/>
        <w:rPr>
          <w:rFonts w:ascii="Arial" w:hAnsi="Arial" w:cs="Arial"/>
          <w:sz w:val="24"/>
          <w:szCs w:val="24"/>
        </w:rPr>
      </w:pPr>
      <w:r w:rsidRPr="00D80720">
        <w:rPr>
          <w:rFonts w:ascii="Arial" w:hAnsi="Arial" w:cs="Arial"/>
          <w:b/>
          <w:bCs/>
          <w:sz w:val="24"/>
          <w:szCs w:val="24"/>
        </w:rPr>
        <w:t>Why</w:t>
      </w:r>
      <w:r>
        <w:rPr>
          <w:rFonts w:ascii="Arial" w:hAnsi="Arial" w:cs="Arial"/>
          <w:b/>
          <w:bCs/>
          <w:sz w:val="24"/>
          <w:szCs w:val="24"/>
        </w:rPr>
        <w:t xml:space="preserve"> did the DMHC </w:t>
      </w:r>
      <w:r w:rsidRPr="000C3FAF">
        <w:rPr>
          <w:rFonts w:ascii="Arial" w:hAnsi="Arial" w:cs="Arial"/>
          <w:b/>
          <w:bCs/>
          <w:sz w:val="24"/>
          <w:szCs w:val="24"/>
        </w:rPr>
        <w:t xml:space="preserve">amend Rule 1300.67.2.2(h)(7)(A) </w:t>
      </w:r>
      <w:r>
        <w:rPr>
          <w:rFonts w:ascii="Arial" w:hAnsi="Arial" w:cs="Arial"/>
          <w:b/>
          <w:bCs/>
          <w:sz w:val="24"/>
          <w:szCs w:val="24"/>
        </w:rPr>
        <w:t xml:space="preserve">and Annual Network Report Forms </w:t>
      </w:r>
      <w:r w:rsidRPr="000C3FAF">
        <w:rPr>
          <w:rFonts w:ascii="Arial" w:hAnsi="Arial" w:cs="Arial"/>
          <w:b/>
          <w:bCs/>
          <w:sz w:val="24"/>
          <w:szCs w:val="24"/>
        </w:rPr>
        <w:t>to require plans to submit non-network provider requests and determinations as part of the Annual Network Report</w:t>
      </w:r>
      <w:r>
        <w:rPr>
          <w:rFonts w:ascii="Arial" w:hAnsi="Arial" w:cs="Arial"/>
          <w:b/>
          <w:bCs/>
          <w:sz w:val="24"/>
          <w:szCs w:val="24"/>
        </w:rPr>
        <w:t>?</w:t>
      </w:r>
    </w:p>
    <w:p w14:paraId="0C9A9515" w14:textId="77777777" w:rsidR="003174C3" w:rsidRDefault="003174C3" w:rsidP="003174C3">
      <w:pPr>
        <w:spacing w:after="240"/>
        <w:ind w:left="720"/>
        <w:rPr>
          <w:rFonts w:ascii="Arial" w:hAnsi="Arial" w:cs="Arial"/>
          <w:sz w:val="24"/>
          <w:szCs w:val="24"/>
        </w:rPr>
      </w:pPr>
      <w:r>
        <w:rPr>
          <w:rFonts w:ascii="Arial" w:hAnsi="Arial" w:cs="Arial"/>
          <w:sz w:val="24"/>
          <w:szCs w:val="24"/>
        </w:rPr>
        <w:t xml:space="preserve">Senate Bill (SB) 221 </w:t>
      </w:r>
      <w:r w:rsidRPr="00952B9B">
        <w:rPr>
          <w:rStyle w:val="cf01"/>
          <w:rFonts w:ascii="Arial" w:hAnsi="Arial" w:cs="Arial"/>
          <w:sz w:val="24"/>
          <w:szCs w:val="24"/>
        </w:rPr>
        <w:t>(Wiener, Chapter 724, Statutes of 2021)</w:t>
      </w:r>
      <w:r w:rsidRPr="00952B9B">
        <w:rPr>
          <w:rFonts w:ascii="Arial" w:hAnsi="Arial" w:cs="Arial"/>
        </w:rPr>
        <w:t xml:space="preserve"> </w:t>
      </w:r>
      <w:r>
        <w:rPr>
          <w:rFonts w:ascii="Arial" w:hAnsi="Arial" w:cs="Arial"/>
          <w:sz w:val="24"/>
          <w:szCs w:val="24"/>
        </w:rPr>
        <w:t xml:space="preserve">set forth the requirement that health plans must ensure they have sufficient numbers of network providers to maintain compliance with the timely access and network adequacy standards established pursuant to Section 1367.03. It further established that if an enrollee’s medically necessary covered service is unavailable within the health plan’s network, the plan must arrange </w:t>
      </w:r>
      <w:r w:rsidR="009779DA">
        <w:rPr>
          <w:rFonts w:ascii="Arial" w:hAnsi="Arial" w:cs="Arial"/>
          <w:sz w:val="24"/>
          <w:szCs w:val="24"/>
        </w:rPr>
        <w:t>f</w:t>
      </w:r>
      <w:r>
        <w:rPr>
          <w:rFonts w:ascii="Arial" w:hAnsi="Arial" w:cs="Arial"/>
          <w:sz w:val="24"/>
          <w:szCs w:val="24"/>
        </w:rPr>
        <w:t>or the provision of the covered service from a provider outside of the plan’s network (i.e. from a non-network provider).</w:t>
      </w:r>
    </w:p>
    <w:p w14:paraId="2156037A" w14:textId="77777777" w:rsidR="003174C3" w:rsidRDefault="003174C3" w:rsidP="003174C3">
      <w:pPr>
        <w:spacing w:after="240"/>
        <w:ind w:left="720"/>
        <w:rPr>
          <w:rFonts w:ascii="Arial" w:hAnsi="Arial" w:cs="Arial"/>
          <w:sz w:val="24"/>
          <w:szCs w:val="24"/>
        </w:rPr>
      </w:pPr>
      <w:r w:rsidRPr="00EB4FAB">
        <w:rPr>
          <w:rFonts w:ascii="Arial" w:hAnsi="Arial" w:cs="Arial"/>
          <w:sz w:val="24"/>
          <w:szCs w:val="24"/>
        </w:rPr>
        <w:t xml:space="preserve">In this current cycle of regulatory updates, the </w:t>
      </w:r>
      <w:r>
        <w:rPr>
          <w:rFonts w:ascii="Arial" w:hAnsi="Arial" w:cs="Arial"/>
          <w:sz w:val="24"/>
          <w:szCs w:val="24"/>
        </w:rPr>
        <w:t>DMHC developed methodologies for the reporting of non-network providers relating to these statutory requirements. In the future, the DMHC may develop network review methodologies to evaluate the sufficiency of network providers, as set forth in Section 1367.03(a)(7).</w:t>
      </w:r>
    </w:p>
    <w:p w14:paraId="7BD0164E" w14:textId="77777777" w:rsidR="003174C3" w:rsidRPr="00B51720" w:rsidRDefault="003174C3" w:rsidP="00B51720">
      <w:pPr>
        <w:spacing w:after="240"/>
        <w:ind w:left="720"/>
        <w:rPr>
          <w:rFonts w:ascii="Arial" w:hAnsi="Arial" w:cs="Arial"/>
          <w:sz w:val="24"/>
          <w:szCs w:val="24"/>
        </w:rPr>
      </w:pPr>
      <w:r w:rsidRPr="00EB4FAB">
        <w:rPr>
          <w:rFonts w:ascii="Arial" w:hAnsi="Arial" w:cs="Arial"/>
          <w:sz w:val="24"/>
          <w:szCs w:val="24"/>
        </w:rPr>
        <w:lastRenderedPageBreak/>
        <w:t xml:space="preserve">The Non-Network </w:t>
      </w:r>
      <w:r>
        <w:rPr>
          <w:rFonts w:ascii="Arial" w:hAnsi="Arial" w:cs="Arial"/>
          <w:sz w:val="24"/>
          <w:szCs w:val="24"/>
        </w:rPr>
        <w:t>Provider Arrangements</w:t>
      </w:r>
      <w:r w:rsidRPr="00EB4FAB">
        <w:rPr>
          <w:rFonts w:ascii="Arial" w:hAnsi="Arial" w:cs="Arial"/>
          <w:sz w:val="24"/>
          <w:szCs w:val="24"/>
        </w:rPr>
        <w:t xml:space="preserve"> Report Form</w:t>
      </w:r>
      <w:r>
        <w:rPr>
          <w:rFonts w:ascii="Arial" w:hAnsi="Arial" w:cs="Arial"/>
          <w:sz w:val="24"/>
          <w:szCs w:val="24"/>
        </w:rPr>
        <w:t xml:space="preserve"> (Form No. 40-287)</w:t>
      </w:r>
      <w:r w:rsidRPr="00EB4FAB">
        <w:rPr>
          <w:rFonts w:ascii="Arial" w:hAnsi="Arial" w:cs="Arial"/>
          <w:sz w:val="24"/>
          <w:szCs w:val="24"/>
        </w:rPr>
        <w:t xml:space="preserve"> </w:t>
      </w:r>
      <w:r>
        <w:rPr>
          <w:rFonts w:ascii="Arial" w:hAnsi="Arial" w:cs="Arial"/>
          <w:sz w:val="24"/>
          <w:szCs w:val="24"/>
        </w:rPr>
        <w:t xml:space="preserve">includes two tabs: The Non-Network Requests Report </w:t>
      </w:r>
      <w:r w:rsidR="009779DA">
        <w:rPr>
          <w:rFonts w:ascii="Arial" w:hAnsi="Arial" w:cs="Arial"/>
          <w:sz w:val="24"/>
          <w:szCs w:val="24"/>
        </w:rPr>
        <w:t>T</w:t>
      </w:r>
      <w:r>
        <w:rPr>
          <w:rFonts w:ascii="Arial" w:hAnsi="Arial" w:cs="Arial"/>
          <w:sz w:val="24"/>
          <w:szCs w:val="24"/>
        </w:rPr>
        <w:t xml:space="preserve">ab, and the Limited Plan Provider Report </w:t>
      </w:r>
      <w:r w:rsidR="009779DA">
        <w:rPr>
          <w:rFonts w:ascii="Arial" w:hAnsi="Arial" w:cs="Arial"/>
          <w:sz w:val="24"/>
          <w:szCs w:val="24"/>
        </w:rPr>
        <w:t>T</w:t>
      </w:r>
      <w:r>
        <w:rPr>
          <w:rFonts w:ascii="Arial" w:hAnsi="Arial" w:cs="Arial"/>
          <w:sz w:val="24"/>
          <w:szCs w:val="24"/>
        </w:rPr>
        <w:t xml:space="preserve">ab. Within the Non-Network Requests Report </w:t>
      </w:r>
      <w:r w:rsidR="009779DA">
        <w:rPr>
          <w:rFonts w:ascii="Arial" w:hAnsi="Arial" w:cs="Arial"/>
          <w:sz w:val="24"/>
          <w:szCs w:val="24"/>
        </w:rPr>
        <w:t>T</w:t>
      </w:r>
      <w:r>
        <w:rPr>
          <w:rFonts w:ascii="Arial" w:hAnsi="Arial" w:cs="Arial"/>
          <w:sz w:val="24"/>
          <w:szCs w:val="24"/>
        </w:rPr>
        <w:t xml:space="preserve">ab, health plans are required to report non-network provider requests and determinations pertaining to timely access and network adequacy, for each network and county. In the Limited Plan Provider Report </w:t>
      </w:r>
      <w:r w:rsidR="009779DA">
        <w:rPr>
          <w:rFonts w:ascii="Arial" w:hAnsi="Arial" w:cs="Arial"/>
          <w:sz w:val="24"/>
          <w:szCs w:val="24"/>
        </w:rPr>
        <w:t>T</w:t>
      </w:r>
      <w:r>
        <w:rPr>
          <w:rFonts w:ascii="Arial" w:hAnsi="Arial" w:cs="Arial"/>
          <w:sz w:val="24"/>
          <w:szCs w:val="24"/>
        </w:rPr>
        <w:t>ab, health plans are required to report limited plan providers that the health plan uses to deliver access to care when a network provider is u</w:t>
      </w:r>
      <w:r w:rsidR="00FB0E1F">
        <w:rPr>
          <w:rFonts w:ascii="Arial" w:hAnsi="Arial" w:cs="Arial"/>
          <w:sz w:val="24"/>
          <w:szCs w:val="24"/>
        </w:rPr>
        <w:t>n</w:t>
      </w:r>
      <w:r>
        <w:rPr>
          <w:rFonts w:ascii="Arial" w:hAnsi="Arial" w:cs="Arial"/>
          <w:sz w:val="24"/>
          <w:szCs w:val="24"/>
        </w:rPr>
        <w:t>available (unavailable is defined in Rule 1300.67.2.2(b)).</w:t>
      </w:r>
    </w:p>
    <w:p w14:paraId="78F4ABBA" w14:textId="77777777" w:rsidR="00CD7255" w:rsidRPr="007A6F6F" w:rsidRDefault="007A6F6F" w:rsidP="00CD7255">
      <w:pPr>
        <w:numPr>
          <w:ilvl w:val="0"/>
          <w:numId w:val="21"/>
        </w:numPr>
        <w:spacing w:after="240"/>
        <w:rPr>
          <w:rFonts w:ascii="Arial" w:hAnsi="Arial" w:cs="Arial"/>
          <w:sz w:val="24"/>
          <w:szCs w:val="24"/>
        </w:rPr>
      </w:pPr>
      <w:r w:rsidRPr="000C3FAF">
        <w:rPr>
          <w:rFonts w:ascii="Arial" w:hAnsi="Arial" w:cs="Arial"/>
          <w:b/>
          <w:bCs/>
          <w:sz w:val="24"/>
          <w:szCs w:val="24"/>
        </w:rPr>
        <w:t xml:space="preserve">Can the </w:t>
      </w:r>
      <w:r w:rsidR="002B59E2">
        <w:rPr>
          <w:rFonts w:ascii="Arial" w:hAnsi="Arial" w:cs="Arial"/>
          <w:b/>
          <w:bCs/>
          <w:sz w:val="24"/>
          <w:szCs w:val="24"/>
        </w:rPr>
        <w:t>DMHC</w:t>
      </w:r>
      <w:r w:rsidRPr="000C3FAF">
        <w:rPr>
          <w:rFonts w:ascii="Arial" w:hAnsi="Arial" w:cs="Arial"/>
          <w:b/>
          <w:bCs/>
          <w:sz w:val="24"/>
          <w:szCs w:val="24"/>
        </w:rPr>
        <w:t xml:space="preserve"> provide clarification on what qualifies as a non-network provider request and determination</w:t>
      </w:r>
      <w:r>
        <w:rPr>
          <w:rFonts w:ascii="Arial" w:hAnsi="Arial" w:cs="Arial"/>
          <w:b/>
          <w:bCs/>
          <w:sz w:val="24"/>
          <w:szCs w:val="24"/>
        </w:rPr>
        <w:t>?</w:t>
      </w:r>
    </w:p>
    <w:p w14:paraId="5D6CEAB1" w14:textId="77777777" w:rsidR="00253968" w:rsidRDefault="002B59E2" w:rsidP="002B59E2">
      <w:pPr>
        <w:spacing w:after="240"/>
        <w:ind w:left="720"/>
        <w:rPr>
          <w:rFonts w:ascii="Arial" w:hAnsi="Arial" w:cs="Arial"/>
          <w:sz w:val="24"/>
          <w:szCs w:val="24"/>
        </w:rPr>
      </w:pPr>
      <w:r w:rsidRPr="002B59E2">
        <w:rPr>
          <w:rFonts w:ascii="Arial" w:hAnsi="Arial" w:cs="Arial"/>
          <w:sz w:val="24"/>
          <w:szCs w:val="24"/>
        </w:rPr>
        <w:t xml:space="preserve">The Annual Network Submission Manual for </w:t>
      </w:r>
      <w:r w:rsidR="00253968">
        <w:rPr>
          <w:rFonts w:ascii="Arial" w:hAnsi="Arial" w:cs="Arial"/>
          <w:sz w:val="24"/>
          <w:szCs w:val="24"/>
        </w:rPr>
        <w:t>RY</w:t>
      </w:r>
      <w:r w:rsidRPr="002B59E2">
        <w:rPr>
          <w:rFonts w:ascii="Arial" w:hAnsi="Arial" w:cs="Arial"/>
          <w:sz w:val="24"/>
          <w:szCs w:val="24"/>
        </w:rPr>
        <w:t xml:space="preserve"> 2025 defines </w:t>
      </w:r>
      <w:r>
        <w:rPr>
          <w:rFonts w:ascii="Arial" w:hAnsi="Arial" w:cs="Arial"/>
          <w:sz w:val="24"/>
          <w:szCs w:val="24"/>
        </w:rPr>
        <w:t>“</w:t>
      </w:r>
      <w:r w:rsidRPr="002B59E2">
        <w:rPr>
          <w:rFonts w:ascii="Arial" w:hAnsi="Arial" w:cs="Arial"/>
          <w:sz w:val="24"/>
          <w:szCs w:val="24"/>
        </w:rPr>
        <w:t>non-network provider request</w:t>
      </w:r>
      <w:r>
        <w:rPr>
          <w:rFonts w:ascii="Arial" w:hAnsi="Arial" w:cs="Arial"/>
          <w:sz w:val="24"/>
          <w:szCs w:val="24"/>
        </w:rPr>
        <w:t>”</w:t>
      </w:r>
      <w:r w:rsidRPr="002B59E2">
        <w:rPr>
          <w:rFonts w:ascii="Arial" w:hAnsi="Arial" w:cs="Arial"/>
          <w:sz w:val="24"/>
          <w:szCs w:val="24"/>
        </w:rPr>
        <w:t xml:space="preserve"> as follows:</w:t>
      </w:r>
    </w:p>
    <w:p w14:paraId="36746656" w14:textId="77777777" w:rsidR="00253968" w:rsidRDefault="00253968" w:rsidP="002467FA">
      <w:pPr>
        <w:spacing w:after="240"/>
        <w:ind w:left="1440" w:right="900"/>
        <w:rPr>
          <w:rFonts w:ascii="Arial" w:hAnsi="Arial" w:cs="Arial"/>
          <w:sz w:val="24"/>
          <w:szCs w:val="24"/>
        </w:rPr>
      </w:pPr>
      <w:r>
        <w:rPr>
          <w:rFonts w:ascii="Arial" w:hAnsi="Arial" w:cs="Arial"/>
          <w:sz w:val="24"/>
          <w:szCs w:val="24"/>
        </w:rPr>
        <w:t>A</w:t>
      </w:r>
      <w:r w:rsidR="002B59E2" w:rsidRPr="002B59E2">
        <w:rPr>
          <w:rFonts w:ascii="Arial" w:hAnsi="Arial" w:cs="Arial"/>
          <w:sz w:val="24"/>
          <w:szCs w:val="24"/>
        </w:rPr>
        <w:t xml:space="preserve"> request that the enrollee access or receive covered services from a provider that is not a network provider, as defined. Such request may be initiated by an enrollee, enrollee’s representative, a provider, or any other source, including through the grievance process.</w:t>
      </w:r>
    </w:p>
    <w:p w14:paraId="2A86C982" w14:textId="77777777" w:rsidR="00FB0E1F" w:rsidRDefault="00253968" w:rsidP="00253968">
      <w:pPr>
        <w:spacing w:after="240"/>
        <w:ind w:left="720"/>
        <w:rPr>
          <w:rFonts w:ascii="Arial" w:hAnsi="Arial" w:cs="Arial"/>
          <w:sz w:val="24"/>
          <w:szCs w:val="24"/>
        </w:rPr>
      </w:pPr>
      <w:r>
        <w:rPr>
          <w:rFonts w:ascii="Arial" w:hAnsi="Arial" w:cs="Arial"/>
          <w:sz w:val="24"/>
          <w:szCs w:val="24"/>
        </w:rPr>
        <w:t>Instruction</w:t>
      </w:r>
      <w:r w:rsidR="000E5996">
        <w:rPr>
          <w:rFonts w:ascii="Arial" w:hAnsi="Arial" w:cs="Arial"/>
          <w:sz w:val="24"/>
          <w:szCs w:val="24"/>
        </w:rPr>
        <w:t>s for health plans</w:t>
      </w:r>
      <w:r w:rsidR="009D491D">
        <w:rPr>
          <w:rFonts w:ascii="Arial" w:hAnsi="Arial" w:cs="Arial"/>
          <w:sz w:val="24"/>
          <w:szCs w:val="24"/>
        </w:rPr>
        <w:t xml:space="preserve"> concerning </w:t>
      </w:r>
      <w:r w:rsidR="000E5996">
        <w:rPr>
          <w:rFonts w:ascii="Arial" w:hAnsi="Arial" w:cs="Arial"/>
          <w:sz w:val="24"/>
          <w:szCs w:val="24"/>
        </w:rPr>
        <w:t>how to report</w:t>
      </w:r>
      <w:r>
        <w:rPr>
          <w:rFonts w:ascii="Arial" w:hAnsi="Arial" w:cs="Arial"/>
          <w:sz w:val="24"/>
          <w:szCs w:val="24"/>
        </w:rPr>
        <w:t xml:space="preserve"> </w:t>
      </w:r>
      <w:r w:rsidR="009D491D">
        <w:rPr>
          <w:rFonts w:ascii="Arial" w:hAnsi="Arial" w:cs="Arial"/>
          <w:sz w:val="24"/>
          <w:szCs w:val="24"/>
        </w:rPr>
        <w:t xml:space="preserve">non-network provider request </w:t>
      </w:r>
      <w:r>
        <w:rPr>
          <w:rFonts w:ascii="Arial" w:hAnsi="Arial" w:cs="Arial"/>
          <w:sz w:val="24"/>
          <w:szCs w:val="24"/>
        </w:rPr>
        <w:t>determination</w:t>
      </w:r>
      <w:r w:rsidR="00C55377">
        <w:rPr>
          <w:rFonts w:ascii="Arial" w:hAnsi="Arial" w:cs="Arial"/>
          <w:sz w:val="24"/>
          <w:szCs w:val="24"/>
        </w:rPr>
        <w:t>s</w:t>
      </w:r>
      <w:r>
        <w:rPr>
          <w:rFonts w:ascii="Arial" w:hAnsi="Arial" w:cs="Arial"/>
          <w:sz w:val="24"/>
          <w:szCs w:val="24"/>
        </w:rPr>
        <w:t xml:space="preserve"> </w:t>
      </w:r>
      <w:r w:rsidR="009D491D">
        <w:rPr>
          <w:rFonts w:ascii="Arial" w:hAnsi="Arial" w:cs="Arial"/>
          <w:sz w:val="24"/>
          <w:szCs w:val="24"/>
        </w:rPr>
        <w:t>are</w:t>
      </w:r>
      <w:r>
        <w:rPr>
          <w:rFonts w:ascii="Arial" w:hAnsi="Arial" w:cs="Arial"/>
          <w:sz w:val="24"/>
          <w:szCs w:val="24"/>
        </w:rPr>
        <w:t xml:space="preserve"> set forth in the “Determination” field instructions for the Non-Network Requests Report </w:t>
      </w:r>
      <w:r w:rsidR="009779DA">
        <w:rPr>
          <w:rFonts w:ascii="Arial" w:hAnsi="Arial" w:cs="Arial"/>
          <w:sz w:val="24"/>
          <w:szCs w:val="24"/>
        </w:rPr>
        <w:t>T</w:t>
      </w:r>
      <w:r>
        <w:rPr>
          <w:rFonts w:ascii="Arial" w:hAnsi="Arial" w:cs="Arial"/>
          <w:sz w:val="24"/>
          <w:szCs w:val="24"/>
        </w:rPr>
        <w:t xml:space="preserve">ab, within Section V.K. of the Annual Network Submission Instruction Manual for RY 2025. </w:t>
      </w:r>
      <w:r w:rsidR="009D491D">
        <w:rPr>
          <w:rFonts w:ascii="Arial" w:hAnsi="Arial" w:cs="Arial"/>
          <w:sz w:val="24"/>
          <w:szCs w:val="24"/>
        </w:rPr>
        <w:t xml:space="preserve">The health plan will report whether </w:t>
      </w:r>
      <w:r w:rsidR="00FB0E1F">
        <w:rPr>
          <w:rFonts w:ascii="Arial" w:hAnsi="Arial" w:cs="Arial"/>
          <w:sz w:val="24"/>
          <w:szCs w:val="24"/>
        </w:rPr>
        <w:t>the plan approved the request, denied the request, or there was a different resolution.</w:t>
      </w:r>
    </w:p>
    <w:p w14:paraId="0FED5905" w14:textId="77777777" w:rsidR="007A6F6F" w:rsidRPr="007A6F6F" w:rsidRDefault="002B59E2" w:rsidP="002B59E2">
      <w:pPr>
        <w:spacing w:after="240"/>
        <w:ind w:left="720"/>
        <w:rPr>
          <w:rFonts w:ascii="Arial" w:hAnsi="Arial" w:cs="Arial"/>
          <w:sz w:val="24"/>
          <w:szCs w:val="24"/>
        </w:rPr>
      </w:pPr>
      <w:r w:rsidRPr="002B59E2">
        <w:rPr>
          <w:rFonts w:ascii="Arial" w:hAnsi="Arial" w:cs="Arial"/>
          <w:sz w:val="24"/>
          <w:szCs w:val="24"/>
        </w:rPr>
        <w:t xml:space="preserve">For further instructions regarding how to report non-network provider requests and </w:t>
      </w:r>
      <w:r w:rsidR="00253968">
        <w:rPr>
          <w:rFonts w:ascii="Arial" w:hAnsi="Arial" w:cs="Arial"/>
          <w:sz w:val="24"/>
          <w:szCs w:val="24"/>
        </w:rPr>
        <w:t xml:space="preserve">health </w:t>
      </w:r>
      <w:r w:rsidRPr="002B59E2">
        <w:rPr>
          <w:rFonts w:ascii="Arial" w:hAnsi="Arial" w:cs="Arial"/>
          <w:sz w:val="24"/>
          <w:szCs w:val="24"/>
        </w:rPr>
        <w:t xml:space="preserve">plan determinations for </w:t>
      </w:r>
      <w:r w:rsidR="00253968">
        <w:rPr>
          <w:rFonts w:ascii="Arial" w:hAnsi="Arial" w:cs="Arial"/>
          <w:sz w:val="24"/>
          <w:szCs w:val="24"/>
        </w:rPr>
        <w:t>RY</w:t>
      </w:r>
      <w:r w:rsidRPr="002B59E2">
        <w:rPr>
          <w:rFonts w:ascii="Arial" w:hAnsi="Arial" w:cs="Arial"/>
          <w:sz w:val="24"/>
          <w:szCs w:val="24"/>
        </w:rPr>
        <w:t xml:space="preserve"> 2025, see the </w:t>
      </w:r>
      <w:r w:rsidR="00253968">
        <w:rPr>
          <w:rFonts w:ascii="Arial" w:hAnsi="Arial" w:cs="Arial"/>
          <w:sz w:val="24"/>
          <w:szCs w:val="24"/>
        </w:rPr>
        <w:t>r</w:t>
      </w:r>
      <w:r w:rsidRPr="002B59E2">
        <w:rPr>
          <w:rFonts w:ascii="Arial" w:hAnsi="Arial" w:cs="Arial"/>
          <w:sz w:val="24"/>
          <w:szCs w:val="24"/>
        </w:rPr>
        <w:t xml:space="preserve">eport </w:t>
      </w:r>
      <w:r w:rsidR="00253968">
        <w:rPr>
          <w:rFonts w:ascii="Arial" w:hAnsi="Arial" w:cs="Arial"/>
          <w:sz w:val="24"/>
          <w:szCs w:val="24"/>
        </w:rPr>
        <w:t>fo</w:t>
      </w:r>
      <w:r w:rsidRPr="002B59E2">
        <w:rPr>
          <w:rFonts w:ascii="Arial" w:hAnsi="Arial" w:cs="Arial"/>
          <w:sz w:val="24"/>
          <w:szCs w:val="24"/>
        </w:rPr>
        <w:t xml:space="preserve">rm instructions for the Non-Network Requests Report </w:t>
      </w:r>
      <w:r w:rsidR="009779DA">
        <w:rPr>
          <w:rFonts w:ascii="Arial" w:hAnsi="Arial" w:cs="Arial"/>
          <w:sz w:val="24"/>
          <w:szCs w:val="24"/>
        </w:rPr>
        <w:t>T</w:t>
      </w:r>
      <w:r w:rsidRPr="002B59E2">
        <w:rPr>
          <w:rFonts w:ascii="Arial" w:hAnsi="Arial" w:cs="Arial"/>
          <w:sz w:val="24"/>
          <w:szCs w:val="24"/>
        </w:rPr>
        <w:t xml:space="preserve">ab of the Non-Network Provider Arrangements Report Form </w:t>
      </w:r>
      <w:r>
        <w:rPr>
          <w:rFonts w:ascii="Arial" w:hAnsi="Arial" w:cs="Arial"/>
          <w:sz w:val="24"/>
          <w:szCs w:val="24"/>
        </w:rPr>
        <w:t>(</w:t>
      </w:r>
      <w:r w:rsidRPr="002B59E2">
        <w:rPr>
          <w:rFonts w:ascii="Arial" w:hAnsi="Arial" w:cs="Arial"/>
          <w:sz w:val="24"/>
          <w:szCs w:val="24"/>
        </w:rPr>
        <w:t>Form No. 40-287</w:t>
      </w:r>
      <w:r>
        <w:rPr>
          <w:rFonts w:ascii="Arial" w:hAnsi="Arial" w:cs="Arial"/>
          <w:sz w:val="24"/>
          <w:szCs w:val="24"/>
        </w:rPr>
        <w:t>)</w:t>
      </w:r>
      <w:r w:rsidRPr="002B59E2">
        <w:rPr>
          <w:rFonts w:ascii="Arial" w:hAnsi="Arial" w:cs="Arial"/>
          <w:sz w:val="24"/>
          <w:szCs w:val="24"/>
        </w:rPr>
        <w:t>. These instructions are available in the attached Annual Network Submission Instruction Manual for RY 2025</w:t>
      </w:r>
      <w:r>
        <w:rPr>
          <w:rFonts w:ascii="Arial" w:hAnsi="Arial" w:cs="Arial"/>
          <w:sz w:val="24"/>
          <w:szCs w:val="24"/>
        </w:rPr>
        <w:t>.</w:t>
      </w:r>
    </w:p>
    <w:p w14:paraId="1F7CD1A9" w14:textId="77777777" w:rsidR="007A6F6F" w:rsidRPr="007A6F6F" w:rsidRDefault="001D3B01" w:rsidP="00CD7255">
      <w:pPr>
        <w:numPr>
          <w:ilvl w:val="0"/>
          <w:numId w:val="21"/>
        </w:numPr>
        <w:spacing w:after="240"/>
        <w:rPr>
          <w:rFonts w:ascii="Arial" w:hAnsi="Arial" w:cs="Arial"/>
          <w:sz w:val="24"/>
          <w:szCs w:val="24"/>
        </w:rPr>
      </w:pPr>
      <w:r>
        <w:rPr>
          <w:rFonts w:ascii="Arial" w:hAnsi="Arial" w:cs="Arial"/>
          <w:b/>
          <w:bCs/>
          <w:sz w:val="24"/>
          <w:szCs w:val="24"/>
        </w:rPr>
        <w:t>Can the DMHC provide more explanation of what qualifies as a non-network provider</w:t>
      </w:r>
      <w:r w:rsidR="007A6F6F">
        <w:rPr>
          <w:rFonts w:ascii="Arial" w:hAnsi="Arial" w:cs="Arial"/>
          <w:b/>
          <w:bCs/>
          <w:sz w:val="24"/>
          <w:szCs w:val="24"/>
        </w:rPr>
        <w:t>?</w:t>
      </w:r>
    </w:p>
    <w:p w14:paraId="128406C1" w14:textId="77777777" w:rsidR="004C6573" w:rsidRDefault="00C048DA" w:rsidP="00576AF8">
      <w:pPr>
        <w:spacing w:after="240"/>
        <w:ind w:left="720"/>
        <w:rPr>
          <w:rFonts w:ascii="Arial" w:hAnsi="Arial" w:cs="Arial"/>
          <w:sz w:val="24"/>
          <w:szCs w:val="24"/>
        </w:rPr>
      </w:pPr>
      <w:r w:rsidRPr="002B59E2">
        <w:rPr>
          <w:rFonts w:ascii="Arial" w:hAnsi="Arial" w:cs="Arial"/>
          <w:sz w:val="24"/>
          <w:szCs w:val="24"/>
        </w:rPr>
        <w:t xml:space="preserve">The Annual Network Submission </w:t>
      </w:r>
      <w:r w:rsidR="009779DA">
        <w:rPr>
          <w:rFonts w:ascii="Arial" w:hAnsi="Arial" w:cs="Arial"/>
          <w:sz w:val="24"/>
          <w:szCs w:val="24"/>
        </w:rPr>
        <w:t xml:space="preserve">Instruction </w:t>
      </w:r>
      <w:r w:rsidRPr="002B59E2">
        <w:rPr>
          <w:rFonts w:ascii="Arial" w:hAnsi="Arial" w:cs="Arial"/>
          <w:sz w:val="24"/>
          <w:szCs w:val="24"/>
        </w:rPr>
        <w:t xml:space="preserve">Manual for Reporting Year 2025 defines </w:t>
      </w:r>
      <w:r>
        <w:rPr>
          <w:rFonts w:ascii="Arial" w:hAnsi="Arial" w:cs="Arial"/>
          <w:sz w:val="24"/>
          <w:szCs w:val="24"/>
        </w:rPr>
        <w:t>“</w:t>
      </w:r>
      <w:r w:rsidRPr="002B59E2">
        <w:rPr>
          <w:rFonts w:ascii="Arial" w:hAnsi="Arial" w:cs="Arial"/>
          <w:sz w:val="24"/>
          <w:szCs w:val="24"/>
        </w:rPr>
        <w:t>non-network provider</w:t>
      </w:r>
      <w:r>
        <w:rPr>
          <w:rFonts w:ascii="Arial" w:hAnsi="Arial" w:cs="Arial"/>
          <w:sz w:val="24"/>
          <w:szCs w:val="24"/>
        </w:rPr>
        <w:t>”</w:t>
      </w:r>
      <w:r w:rsidRPr="002B59E2">
        <w:rPr>
          <w:rFonts w:ascii="Arial" w:hAnsi="Arial" w:cs="Arial"/>
          <w:sz w:val="24"/>
          <w:szCs w:val="24"/>
        </w:rPr>
        <w:t xml:space="preserve"> as follows:</w:t>
      </w:r>
      <w:r>
        <w:rPr>
          <w:rFonts w:ascii="Arial" w:hAnsi="Arial" w:cs="Arial"/>
          <w:sz w:val="24"/>
          <w:szCs w:val="24"/>
        </w:rPr>
        <w:t xml:space="preserve"> “</w:t>
      </w:r>
      <w:r w:rsidR="00052D7A">
        <w:rPr>
          <w:rFonts w:ascii="Arial" w:hAnsi="Arial" w:cs="Arial"/>
          <w:sz w:val="24"/>
          <w:szCs w:val="24"/>
        </w:rPr>
        <w:t>A</w:t>
      </w:r>
      <w:r w:rsidRPr="00C048DA">
        <w:rPr>
          <w:rFonts w:ascii="Arial" w:hAnsi="Arial" w:cs="Arial"/>
          <w:sz w:val="24"/>
          <w:szCs w:val="24"/>
        </w:rPr>
        <w:t>n individual provider, an entity or a facility, as set forth in section 1345(i), that does not meet the definition of network provider in Rule 1300.67.2.2(b)(10)</w:t>
      </w:r>
      <w:r>
        <w:rPr>
          <w:rFonts w:ascii="Arial" w:hAnsi="Arial" w:cs="Arial"/>
          <w:sz w:val="24"/>
          <w:szCs w:val="24"/>
        </w:rPr>
        <w:t>.”</w:t>
      </w:r>
      <w:r w:rsidR="00950A57">
        <w:rPr>
          <w:rFonts w:ascii="Arial" w:hAnsi="Arial" w:cs="Arial"/>
          <w:sz w:val="24"/>
          <w:szCs w:val="24"/>
        </w:rPr>
        <w:t xml:space="preserve"> </w:t>
      </w:r>
      <w:r w:rsidR="00B967C1">
        <w:rPr>
          <w:rFonts w:ascii="Arial" w:hAnsi="Arial" w:cs="Arial"/>
          <w:sz w:val="24"/>
          <w:szCs w:val="24"/>
        </w:rPr>
        <w:t>In other words, a</w:t>
      </w:r>
      <w:r w:rsidR="001D3B01">
        <w:rPr>
          <w:rFonts w:ascii="Arial" w:hAnsi="Arial" w:cs="Arial"/>
          <w:sz w:val="24"/>
          <w:szCs w:val="24"/>
        </w:rPr>
        <w:t xml:space="preserve"> non-network provider is any provider that does not meet </w:t>
      </w:r>
      <w:r w:rsidR="00C51931">
        <w:rPr>
          <w:rFonts w:ascii="Arial" w:hAnsi="Arial" w:cs="Arial"/>
          <w:sz w:val="24"/>
          <w:szCs w:val="24"/>
        </w:rPr>
        <w:t>all</w:t>
      </w:r>
      <w:r w:rsidR="001D3B01">
        <w:rPr>
          <w:rFonts w:ascii="Arial" w:hAnsi="Arial" w:cs="Arial"/>
          <w:sz w:val="24"/>
          <w:szCs w:val="24"/>
        </w:rPr>
        <w:t xml:space="preserve"> the network contracting and other requirements of the Knox-Keene Act as described in </w:t>
      </w:r>
      <w:r w:rsidR="0091398D">
        <w:rPr>
          <w:rFonts w:ascii="Arial" w:hAnsi="Arial" w:cs="Arial"/>
          <w:sz w:val="24"/>
          <w:szCs w:val="24"/>
        </w:rPr>
        <w:t xml:space="preserve">the definition of network provider in </w:t>
      </w:r>
      <w:r w:rsidR="001D3B01">
        <w:rPr>
          <w:rFonts w:ascii="Arial" w:hAnsi="Arial" w:cs="Arial"/>
          <w:sz w:val="24"/>
          <w:szCs w:val="24"/>
        </w:rPr>
        <w:t>Rule 1300.67.2.2(b)(10)</w:t>
      </w:r>
      <w:r w:rsidR="000C6C42">
        <w:rPr>
          <w:rFonts w:ascii="Arial" w:hAnsi="Arial" w:cs="Arial"/>
          <w:sz w:val="24"/>
          <w:szCs w:val="24"/>
        </w:rPr>
        <w:t>.</w:t>
      </w:r>
      <w:r w:rsidR="00495366">
        <w:rPr>
          <w:rFonts w:ascii="Arial" w:hAnsi="Arial" w:cs="Arial"/>
          <w:sz w:val="24"/>
          <w:szCs w:val="24"/>
        </w:rPr>
        <w:t xml:space="preserve"> </w:t>
      </w:r>
      <w:r w:rsidR="0091398D">
        <w:rPr>
          <w:rFonts w:ascii="Arial" w:hAnsi="Arial" w:cs="Arial"/>
          <w:sz w:val="24"/>
          <w:szCs w:val="24"/>
        </w:rPr>
        <w:t xml:space="preserve">One key component of a network provider </w:t>
      </w:r>
      <w:r w:rsidR="0091398D">
        <w:rPr>
          <w:rFonts w:ascii="Arial" w:hAnsi="Arial" w:cs="Arial"/>
          <w:sz w:val="24"/>
          <w:szCs w:val="24"/>
        </w:rPr>
        <w:lastRenderedPageBreak/>
        <w:t xml:space="preserve">under the definition is that the provider must be available to provide covered services to all plan enrollees in all product lines using the designated network. Network providers must also meet all contracting requirements in the Knox-Keene Act and be available to enrollees through regularly established </w:t>
      </w:r>
      <w:r w:rsidR="00D91EBA">
        <w:rPr>
          <w:rFonts w:ascii="Arial" w:hAnsi="Arial" w:cs="Arial"/>
          <w:sz w:val="24"/>
          <w:szCs w:val="24"/>
        </w:rPr>
        <w:t>in-</w:t>
      </w:r>
      <w:r w:rsidR="0091398D">
        <w:rPr>
          <w:rFonts w:ascii="Arial" w:hAnsi="Arial" w:cs="Arial"/>
          <w:sz w:val="24"/>
          <w:szCs w:val="24"/>
        </w:rPr>
        <w:t>network referral and authorization processes.</w:t>
      </w:r>
    </w:p>
    <w:p w14:paraId="6E03E317" w14:textId="77777777" w:rsidR="00495366" w:rsidRDefault="00B967C1" w:rsidP="004C6573">
      <w:pPr>
        <w:spacing w:after="240"/>
        <w:ind w:left="720"/>
        <w:rPr>
          <w:rFonts w:ascii="Arial" w:hAnsi="Arial" w:cs="Arial"/>
          <w:sz w:val="24"/>
          <w:szCs w:val="24"/>
        </w:rPr>
      </w:pPr>
      <w:r>
        <w:rPr>
          <w:rFonts w:ascii="Arial" w:hAnsi="Arial" w:cs="Arial"/>
          <w:sz w:val="24"/>
          <w:szCs w:val="24"/>
        </w:rPr>
        <w:t>One</w:t>
      </w:r>
      <w:r w:rsidR="001D3B01">
        <w:rPr>
          <w:rFonts w:ascii="Arial" w:hAnsi="Arial" w:cs="Arial"/>
          <w:sz w:val="24"/>
          <w:szCs w:val="24"/>
        </w:rPr>
        <w:t xml:space="preserve"> example of a non-network provider is a provider that does not have any contractual relationship with the plan. </w:t>
      </w:r>
      <w:r w:rsidR="004C6573">
        <w:rPr>
          <w:rFonts w:ascii="Arial" w:hAnsi="Arial" w:cs="Arial"/>
          <w:sz w:val="24"/>
          <w:szCs w:val="24"/>
        </w:rPr>
        <w:t xml:space="preserve">Another example of a non-network provider is a provider </w:t>
      </w:r>
      <w:r w:rsidR="004C6573" w:rsidRPr="004C6573">
        <w:rPr>
          <w:rFonts w:ascii="Arial" w:hAnsi="Arial" w:cs="Arial"/>
          <w:sz w:val="24"/>
          <w:szCs w:val="24"/>
        </w:rPr>
        <w:t xml:space="preserve">made available </w:t>
      </w:r>
      <w:r w:rsidR="004C6573">
        <w:rPr>
          <w:rFonts w:ascii="Arial" w:hAnsi="Arial" w:cs="Arial"/>
          <w:sz w:val="24"/>
          <w:szCs w:val="24"/>
        </w:rPr>
        <w:t xml:space="preserve">to an enrollee </w:t>
      </w:r>
      <w:r w:rsidR="004C6573" w:rsidRPr="004C6573">
        <w:rPr>
          <w:rFonts w:ascii="Arial" w:hAnsi="Arial" w:cs="Arial"/>
          <w:sz w:val="24"/>
          <w:szCs w:val="24"/>
        </w:rPr>
        <w:t xml:space="preserve">through </w:t>
      </w:r>
      <w:r w:rsidR="004C6573">
        <w:rPr>
          <w:rFonts w:ascii="Arial" w:hAnsi="Arial" w:cs="Arial"/>
          <w:sz w:val="24"/>
          <w:szCs w:val="24"/>
        </w:rPr>
        <w:t xml:space="preserve">a </w:t>
      </w:r>
      <w:r w:rsidR="004C6573" w:rsidRPr="004C6573">
        <w:rPr>
          <w:rFonts w:ascii="Arial" w:hAnsi="Arial" w:cs="Arial"/>
          <w:sz w:val="24"/>
          <w:szCs w:val="24"/>
        </w:rPr>
        <w:t xml:space="preserve">single-case agreement, letter of intent, or </w:t>
      </w:r>
      <w:r w:rsidR="004C6573">
        <w:rPr>
          <w:rFonts w:ascii="Arial" w:hAnsi="Arial" w:cs="Arial"/>
          <w:sz w:val="24"/>
          <w:szCs w:val="24"/>
        </w:rPr>
        <w:t xml:space="preserve">a </w:t>
      </w:r>
      <w:r w:rsidR="004C6573" w:rsidRPr="004C6573">
        <w:rPr>
          <w:rFonts w:ascii="Arial" w:hAnsi="Arial" w:cs="Arial"/>
          <w:sz w:val="24"/>
          <w:szCs w:val="24"/>
        </w:rPr>
        <w:t xml:space="preserve">contract agreement </w:t>
      </w:r>
      <w:r w:rsidR="004C6573">
        <w:rPr>
          <w:rFonts w:ascii="Arial" w:hAnsi="Arial" w:cs="Arial"/>
          <w:sz w:val="24"/>
          <w:szCs w:val="24"/>
        </w:rPr>
        <w:t xml:space="preserve">that </w:t>
      </w:r>
      <w:r w:rsidR="0091398D">
        <w:rPr>
          <w:rFonts w:ascii="Arial" w:hAnsi="Arial" w:cs="Arial"/>
          <w:sz w:val="24"/>
          <w:szCs w:val="24"/>
        </w:rPr>
        <w:t>does not meet all contractual requirements of</w:t>
      </w:r>
      <w:r w:rsidR="004C6573">
        <w:rPr>
          <w:rFonts w:ascii="Arial" w:hAnsi="Arial" w:cs="Arial"/>
          <w:sz w:val="24"/>
          <w:szCs w:val="24"/>
        </w:rPr>
        <w:t xml:space="preserve"> with the Knox-Keene Act and implementing regulations. Examples of Knox-Keene Act contracting </w:t>
      </w:r>
      <w:r w:rsidR="00B95D6B">
        <w:rPr>
          <w:rFonts w:ascii="Arial" w:hAnsi="Arial" w:cs="Arial"/>
          <w:sz w:val="24"/>
          <w:szCs w:val="24"/>
        </w:rPr>
        <w:t>requirement</w:t>
      </w:r>
      <w:r w:rsidR="004C6573">
        <w:rPr>
          <w:rFonts w:ascii="Arial" w:hAnsi="Arial" w:cs="Arial"/>
          <w:sz w:val="24"/>
          <w:szCs w:val="24"/>
        </w:rPr>
        <w:t xml:space="preserve">s are set forth in </w:t>
      </w:r>
      <w:r w:rsidR="004C6573" w:rsidRPr="004C6573">
        <w:rPr>
          <w:rFonts w:ascii="Arial" w:hAnsi="Arial" w:cs="Arial"/>
          <w:sz w:val="24"/>
          <w:szCs w:val="24"/>
        </w:rPr>
        <w:t xml:space="preserve">subsection (b)(10)(B)(ii) and (iii) </w:t>
      </w:r>
      <w:r w:rsidR="004C6573">
        <w:rPr>
          <w:rFonts w:ascii="Arial" w:hAnsi="Arial" w:cs="Arial"/>
          <w:sz w:val="24"/>
          <w:szCs w:val="24"/>
        </w:rPr>
        <w:t>of the definition of network provider.</w:t>
      </w:r>
    </w:p>
    <w:p w14:paraId="262BE66A" w14:textId="77777777" w:rsidR="00EA061C" w:rsidRDefault="001D3B01" w:rsidP="00EA061C">
      <w:pPr>
        <w:spacing w:after="240"/>
        <w:ind w:left="720"/>
        <w:rPr>
          <w:rFonts w:ascii="Arial" w:hAnsi="Arial" w:cs="Arial"/>
          <w:sz w:val="24"/>
          <w:szCs w:val="24"/>
        </w:rPr>
      </w:pPr>
      <w:r>
        <w:rPr>
          <w:rFonts w:ascii="Arial" w:hAnsi="Arial" w:cs="Arial"/>
          <w:sz w:val="24"/>
          <w:szCs w:val="24"/>
        </w:rPr>
        <w:t xml:space="preserve">Another example of a non-network provider is a “limited plan provider” which is </w:t>
      </w:r>
      <w:r w:rsidR="00C51931">
        <w:rPr>
          <w:rFonts w:ascii="Arial" w:hAnsi="Arial" w:cs="Arial"/>
          <w:sz w:val="24"/>
          <w:szCs w:val="24"/>
        </w:rPr>
        <w:t xml:space="preserve">a </w:t>
      </w:r>
      <w:r>
        <w:rPr>
          <w:rFonts w:ascii="Arial" w:hAnsi="Arial" w:cs="Arial"/>
          <w:sz w:val="24"/>
          <w:szCs w:val="24"/>
        </w:rPr>
        <w:t xml:space="preserve">new defined term </w:t>
      </w:r>
      <w:r w:rsidR="00B967C1">
        <w:rPr>
          <w:rFonts w:ascii="Arial" w:hAnsi="Arial" w:cs="Arial"/>
          <w:sz w:val="24"/>
          <w:szCs w:val="24"/>
        </w:rPr>
        <w:t xml:space="preserve">set forth </w:t>
      </w:r>
      <w:r>
        <w:rPr>
          <w:rFonts w:ascii="Arial" w:hAnsi="Arial" w:cs="Arial"/>
          <w:sz w:val="24"/>
          <w:szCs w:val="24"/>
        </w:rPr>
        <w:t>in Rule 1300.67.2.2(b)</w:t>
      </w:r>
      <w:r w:rsidR="00B967C1">
        <w:rPr>
          <w:rFonts w:ascii="Arial" w:hAnsi="Arial" w:cs="Arial"/>
          <w:sz w:val="24"/>
          <w:szCs w:val="24"/>
        </w:rPr>
        <w:t xml:space="preserve">. </w:t>
      </w:r>
      <w:r w:rsidR="00866845">
        <w:rPr>
          <w:rFonts w:ascii="Arial" w:hAnsi="Arial" w:cs="Arial"/>
          <w:sz w:val="24"/>
          <w:szCs w:val="24"/>
        </w:rPr>
        <w:t xml:space="preserve">Such providers are sometimes referred to as “rainy day” providers by health plans. </w:t>
      </w:r>
      <w:r w:rsidR="00B967C1">
        <w:rPr>
          <w:rFonts w:ascii="Arial" w:hAnsi="Arial" w:cs="Arial"/>
          <w:sz w:val="24"/>
          <w:szCs w:val="24"/>
        </w:rPr>
        <w:t xml:space="preserve">A limited plan provider is a provider who would </w:t>
      </w:r>
      <w:r w:rsidR="00B967C1" w:rsidRPr="00A72E9C">
        <w:rPr>
          <w:rFonts w:ascii="Arial" w:hAnsi="Arial" w:cs="Arial"/>
          <w:sz w:val="24"/>
          <w:szCs w:val="24"/>
        </w:rPr>
        <w:t xml:space="preserve">meet the criteria for "network provider" defined </w:t>
      </w:r>
      <w:r w:rsidR="00B20D1C">
        <w:rPr>
          <w:rFonts w:ascii="Arial" w:hAnsi="Arial" w:cs="Arial"/>
          <w:sz w:val="24"/>
          <w:szCs w:val="24"/>
        </w:rPr>
        <w:t xml:space="preserve">in </w:t>
      </w:r>
      <w:r w:rsidR="00B967C1" w:rsidRPr="00B95D6B">
        <w:rPr>
          <w:rFonts w:ascii="Arial" w:hAnsi="Arial" w:cs="Arial"/>
          <w:sz w:val="24"/>
          <w:szCs w:val="24"/>
        </w:rPr>
        <w:t>Rule 1300.67.2.2</w:t>
      </w:r>
      <w:r w:rsidR="00495366">
        <w:rPr>
          <w:rFonts w:ascii="Arial" w:hAnsi="Arial" w:cs="Arial"/>
          <w:sz w:val="24"/>
          <w:szCs w:val="24"/>
        </w:rPr>
        <w:t>(b)</w:t>
      </w:r>
      <w:r w:rsidR="00B967C1" w:rsidRPr="00B95D6B">
        <w:rPr>
          <w:rFonts w:ascii="Arial" w:hAnsi="Arial" w:cs="Arial"/>
          <w:sz w:val="24"/>
          <w:szCs w:val="24"/>
        </w:rPr>
        <w:t xml:space="preserve">, </w:t>
      </w:r>
      <w:r w:rsidR="00B967C1" w:rsidRPr="00B95D6B">
        <w:rPr>
          <w:rFonts w:ascii="Arial" w:hAnsi="Arial" w:cs="Arial"/>
          <w:b/>
          <w:sz w:val="24"/>
          <w:szCs w:val="24"/>
        </w:rPr>
        <w:t xml:space="preserve">except </w:t>
      </w:r>
      <w:r w:rsidR="00B967C1" w:rsidRPr="00B95D6B">
        <w:rPr>
          <w:rFonts w:ascii="Arial" w:hAnsi="Arial" w:cs="Arial"/>
          <w:sz w:val="24"/>
          <w:szCs w:val="24"/>
        </w:rPr>
        <w:t xml:space="preserve">the provider is not accessible to some or all enrollees </w:t>
      </w:r>
      <w:r w:rsidR="00495366">
        <w:rPr>
          <w:rFonts w:ascii="Arial" w:hAnsi="Arial" w:cs="Arial"/>
          <w:sz w:val="24"/>
          <w:szCs w:val="24"/>
        </w:rPr>
        <w:t>in all product lines using the network without limitations other than established in-network referral or authorization processes</w:t>
      </w:r>
      <w:r w:rsidR="0091398D">
        <w:rPr>
          <w:rFonts w:ascii="Arial" w:hAnsi="Arial" w:cs="Arial"/>
          <w:sz w:val="24"/>
          <w:szCs w:val="24"/>
        </w:rPr>
        <w:t xml:space="preserve">; </w:t>
      </w:r>
      <w:r w:rsidR="00495366">
        <w:rPr>
          <w:rFonts w:ascii="Arial" w:hAnsi="Arial" w:cs="Arial"/>
          <w:sz w:val="24"/>
          <w:szCs w:val="24"/>
        </w:rPr>
        <w:t xml:space="preserve">or processes for changing provider groups consistent with </w:t>
      </w:r>
      <w:r w:rsidR="0091398D">
        <w:rPr>
          <w:rFonts w:ascii="Arial" w:hAnsi="Arial" w:cs="Arial"/>
          <w:sz w:val="24"/>
          <w:szCs w:val="24"/>
        </w:rPr>
        <w:t>the Knox-Keene Act</w:t>
      </w:r>
      <w:r w:rsidR="00495366">
        <w:rPr>
          <w:rFonts w:ascii="Arial" w:hAnsi="Arial" w:cs="Arial"/>
          <w:sz w:val="24"/>
          <w:szCs w:val="24"/>
        </w:rPr>
        <w:t xml:space="preserve"> in networks where enrollees are assigned to a provider group. </w:t>
      </w:r>
      <w:r w:rsidR="00C51931">
        <w:rPr>
          <w:rFonts w:ascii="Arial" w:hAnsi="Arial" w:cs="Arial"/>
          <w:sz w:val="24"/>
          <w:szCs w:val="24"/>
        </w:rPr>
        <w:t>For instance</w:t>
      </w:r>
      <w:r>
        <w:rPr>
          <w:rFonts w:ascii="Arial" w:hAnsi="Arial" w:cs="Arial"/>
          <w:sz w:val="24"/>
          <w:szCs w:val="24"/>
        </w:rPr>
        <w:t xml:space="preserve">, </w:t>
      </w:r>
      <w:r w:rsidR="0030471A">
        <w:rPr>
          <w:rFonts w:ascii="Arial" w:hAnsi="Arial" w:cs="Arial"/>
          <w:sz w:val="24"/>
          <w:szCs w:val="24"/>
        </w:rPr>
        <w:t xml:space="preserve">in a network where enrollees are assigned to a provider group, </w:t>
      </w:r>
      <w:r w:rsidR="00866845">
        <w:rPr>
          <w:rFonts w:ascii="Arial" w:hAnsi="Arial" w:cs="Arial"/>
          <w:sz w:val="24"/>
          <w:szCs w:val="24"/>
        </w:rPr>
        <w:t xml:space="preserve">the enrollees may not be </w:t>
      </w:r>
      <w:r w:rsidR="0030471A">
        <w:rPr>
          <w:rFonts w:ascii="Arial" w:hAnsi="Arial" w:cs="Arial"/>
          <w:sz w:val="24"/>
          <w:szCs w:val="24"/>
        </w:rPr>
        <w:t xml:space="preserve">permitted to switch into the provider group where the </w:t>
      </w:r>
      <w:r w:rsidR="00866845">
        <w:rPr>
          <w:rFonts w:ascii="Arial" w:hAnsi="Arial" w:cs="Arial"/>
          <w:sz w:val="24"/>
          <w:szCs w:val="24"/>
        </w:rPr>
        <w:t xml:space="preserve">limited plan </w:t>
      </w:r>
      <w:r w:rsidR="0030471A">
        <w:rPr>
          <w:rFonts w:ascii="Arial" w:hAnsi="Arial" w:cs="Arial"/>
          <w:sz w:val="24"/>
          <w:szCs w:val="24"/>
        </w:rPr>
        <w:t xml:space="preserve">provider practices. </w:t>
      </w:r>
      <w:r w:rsidR="00866845">
        <w:rPr>
          <w:rFonts w:ascii="Arial" w:hAnsi="Arial" w:cs="Arial"/>
          <w:sz w:val="24"/>
          <w:szCs w:val="24"/>
        </w:rPr>
        <w:t xml:space="preserve">Or there may be a </w:t>
      </w:r>
      <w:r w:rsidR="00D91EBA">
        <w:rPr>
          <w:rFonts w:ascii="Arial" w:hAnsi="Arial" w:cs="Arial"/>
          <w:sz w:val="24"/>
          <w:szCs w:val="24"/>
        </w:rPr>
        <w:t>different</w:t>
      </w:r>
      <w:r w:rsidR="00866845">
        <w:rPr>
          <w:rFonts w:ascii="Arial" w:hAnsi="Arial" w:cs="Arial"/>
          <w:sz w:val="24"/>
          <w:szCs w:val="24"/>
        </w:rPr>
        <w:t xml:space="preserve"> referral or authorization process required for an enrollee to see a limited plan provider.</w:t>
      </w:r>
    </w:p>
    <w:p w14:paraId="7D332A20" w14:textId="77777777" w:rsidR="00DF1DD2" w:rsidRPr="00B95D6B" w:rsidRDefault="00EA061C" w:rsidP="00EA061C">
      <w:pPr>
        <w:spacing w:after="240"/>
        <w:ind w:left="720"/>
        <w:rPr>
          <w:rFonts w:ascii="Arial" w:hAnsi="Arial" w:cs="Arial"/>
          <w:sz w:val="24"/>
          <w:szCs w:val="24"/>
          <w:u w:val="single"/>
        </w:rPr>
      </w:pPr>
      <w:r>
        <w:rPr>
          <w:rFonts w:ascii="Arial" w:hAnsi="Arial" w:cs="Arial"/>
          <w:sz w:val="24"/>
          <w:szCs w:val="24"/>
        </w:rPr>
        <w:t xml:space="preserve">While limited plan providers cannot be used to meet established network adequacy standards, health plans are required to report limited plan providers to the DMHC </w:t>
      </w:r>
      <w:r w:rsidRPr="00B95D6B">
        <w:rPr>
          <w:rFonts w:ascii="Arial" w:hAnsi="Arial" w:cs="Arial"/>
          <w:sz w:val="24"/>
          <w:szCs w:val="24"/>
        </w:rPr>
        <w:t>if the plan uses the provider to deliver access to care when a network provider is unavailable, as defined in Rule 1300.67.2.2(b).</w:t>
      </w:r>
      <w:r>
        <w:rPr>
          <w:rFonts w:ascii="Arial" w:hAnsi="Arial" w:cs="Arial"/>
          <w:sz w:val="24"/>
          <w:szCs w:val="24"/>
        </w:rPr>
        <w:t xml:space="preserve"> The DMHC may review limited plan providers in this context.</w:t>
      </w:r>
    </w:p>
    <w:p w14:paraId="2EE4019E" w14:textId="77777777" w:rsidR="00A7330C" w:rsidRDefault="0091398D" w:rsidP="0091398D">
      <w:pPr>
        <w:spacing w:after="240"/>
        <w:ind w:left="720"/>
        <w:rPr>
          <w:rFonts w:ascii="Arial" w:hAnsi="Arial" w:cs="Arial"/>
          <w:sz w:val="24"/>
          <w:szCs w:val="24"/>
        </w:rPr>
      </w:pPr>
      <w:r>
        <w:rPr>
          <w:rFonts w:ascii="Arial" w:hAnsi="Arial" w:cs="Arial"/>
          <w:sz w:val="24"/>
          <w:szCs w:val="24"/>
        </w:rPr>
        <w:t>For more information concerning the definition of network provider, please refer to Rule 1300.67.2.2(b)(10).</w:t>
      </w:r>
    </w:p>
    <w:p w14:paraId="7C1EC4C4" w14:textId="078EADFE" w:rsidR="00CD7255" w:rsidRPr="00CD7255" w:rsidRDefault="00A7330C" w:rsidP="00A7330C">
      <w:pPr>
        <w:pStyle w:val="AccessibleHeader"/>
      </w:pPr>
      <w:r>
        <w:br w:type="page"/>
      </w:r>
      <w:r w:rsidR="000C3FAF">
        <w:lastRenderedPageBreak/>
        <w:t>Changes to Report Forms FAQ Responses:</w:t>
      </w:r>
    </w:p>
    <w:p w14:paraId="436F8026" w14:textId="4E5B7123" w:rsidR="00950A57" w:rsidRPr="00645FAD" w:rsidRDefault="00645FAD" w:rsidP="001C1555">
      <w:pPr>
        <w:numPr>
          <w:ilvl w:val="0"/>
          <w:numId w:val="26"/>
        </w:numPr>
        <w:spacing w:after="240"/>
        <w:rPr>
          <w:rFonts w:ascii="Arial" w:hAnsi="Arial" w:cs="Arial"/>
          <w:sz w:val="24"/>
          <w:szCs w:val="24"/>
        </w:rPr>
      </w:pPr>
      <w:r>
        <w:rPr>
          <w:rFonts w:ascii="Arial" w:hAnsi="Arial" w:cs="Arial"/>
          <w:b/>
          <w:bCs/>
          <w:sz w:val="24"/>
          <w:szCs w:val="24"/>
        </w:rPr>
        <w:t xml:space="preserve">What types of non-network </w:t>
      </w:r>
      <w:r w:rsidR="00920526">
        <w:rPr>
          <w:rFonts w:ascii="Arial" w:hAnsi="Arial" w:cs="Arial"/>
          <w:b/>
          <w:bCs/>
          <w:sz w:val="24"/>
          <w:szCs w:val="24"/>
        </w:rPr>
        <w:t xml:space="preserve">provider </w:t>
      </w:r>
      <w:r>
        <w:rPr>
          <w:rFonts w:ascii="Arial" w:hAnsi="Arial" w:cs="Arial"/>
          <w:b/>
          <w:bCs/>
          <w:sz w:val="24"/>
          <w:szCs w:val="24"/>
        </w:rPr>
        <w:t>requests are plans required to report on the Non-Networks Request Report Tab of the Non-Network Provider Arrangements Report Form?</w:t>
      </w:r>
    </w:p>
    <w:p w14:paraId="27940FD7" w14:textId="77777777" w:rsidR="002B2AAA" w:rsidRDefault="00950A57" w:rsidP="00950A57">
      <w:pPr>
        <w:tabs>
          <w:tab w:val="left" w:pos="720"/>
        </w:tabs>
        <w:spacing w:after="240"/>
        <w:ind w:left="720"/>
        <w:rPr>
          <w:rFonts w:ascii="Arial" w:hAnsi="Arial" w:cs="Arial"/>
          <w:sz w:val="24"/>
          <w:szCs w:val="24"/>
        </w:rPr>
      </w:pPr>
      <w:r>
        <w:rPr>
          <w:rFonts w:ascii="Arial" w:hAnsi="Arial" w:cs="Arial"/>
          <w:sz w:val="24"/>
          <w:szCs w:val="24"/>
        </w:rPr>
        <w:t xml:space="preserve">In response to stakeholder feedback, the </w:t>
      </w:r>
      <w:r w:rsidR="007D6482">
        <w:rPr>
          <w:rFonts w:ascii="Arial" w:hAnsi="Arial" w:cs="Arial"/>
          <w:sz w:val="24"/>
          <w:szCs w:val="24"/>
        </w:rPr>
        <w:t xml:space="preserve">DMHC revised the Non-Network Provider Arrangement Report Form </w:t>
      </w:r>
      <w:r w:rsidR="00423DD7">
        <w:rPr>
          <w:rFonts w:ascii="Arial" w:hAnsi="Arial" w:cs="Arial"/>
          <w:sz w:val="24"/>
          <w:szCs w:val="24"/>
        </w:rPr>
        <w:t>to</w:t>
      </w:r>
      <w:r w:rsidR="007D6482">
        <w:rPr>
          <w:rFonts w:ascii="Arial" w:hAnsi="Arial" w:cs="Arial"/>
          <w:sz w:val="24"/>
          <w:szCs w:val="24"/>
        </w:rPr>
        <w:t xml:space="preserve"> limit the scope of the non-network provider requests </w:t>
      </w:r>
      <w:r w:rsidR="00573B71">
        <w:rPr>
          <w:rFonts w:ascii="Arial" w:hAnsi="Arial" w:cs="Arial"/>
          <w:sz w:val="24"/>
          <w:szCs w:val="24"/>
        </w:rPr>
        <w:t xml:space="preserve">health </w:t>
      </w:r>
      <w:r w:rsidR="007D6482">
        <w:rPr>
          <w:rFonts w:ascii="Arial" w:hAnsi="Arial" w:cs="Arial"/>
          <w:sz w:val="24"/>
          <w:szCs w:val="24"/>
        </w:rPr>
        <w:t xml:space="preserve">plans are required to report on the Non-Network Requests Report </w:t>
      </w:r>
      <w:r w:rsidR="00423DD7">
        <w:rPr>
          <w:rFonts w:ascii="Arial" w:hAnsi="Arial" w:cs="Arial"/>
          <w:sz w:val="24"/>
          <w:szCs w:val="24"/>
        </w:rPr>
        <w:t>Tab</w:t>
      </w:r>
      <w:r w:rsidR="007D6482">
        <w:rPr>
          <w:rFonts w:ascii="Arial" w:hAnsi="Arial" w:cs="Arial"/>
          <w:sz w:val="24"/>
          <w:szCs w:val="24"/>
        </w:rPr>
        <w:t>.</w:t>
      </w:r>
      <w:r w:rsidR="00645FAD">
        <w:rPr>
          <w:rFonts w:ascii="Arial" w:hAnsi="Arial" w:cs="Arial"/>
          <w:sz w:val="24"/>
          <w:szCs w:val="24"/>
        </w:rPr>
        <w:t xml:space="preserve"> For Reporting Year 2025, </w:t>
      </w:r>
      <w:r w:rsidR="00573B71">
        <w:rPr>
          <w:rFonts w:ascii="Arial" w:hAnsi="Arial" w:cs="Arial"/>
          <w:sz w:val="24"/>
          <w:szCs w:val="24"/>
        </w:rPr>
        <w:t xml:space="preserve">health </w:t>
      </w:r>
      <w:r w:rsidR="00645FAD">
        <w:rPr>
          <w:rFonts w:ascii="Arial" w:hAnsi="Arial" w:cs="Arial"/>
          <w:sz w:val="24"/>
          <w:szCs w:val="24"/>
        </w:rPr>
        <w:t xml:space="preserve">plans will only be required to report non-network requests that </w:t>
      </w:r>
      <w:r w:rsidR="002B2AAA">
        <w:rPr>
          <w:rFonts w:ascii="Arial" w:hAnsi="Arial" w:cs="Arial"/>
          <w:sz w:val="24"/>
          <w:szCs w:val="24"/>
        </w:rPr>
        <w:t>pertain to</w:t>
      </w:r>
      <w:r w:rsidR="00645FAD">
        <w:rPr>
          <w:rFonts w:ascii="Arial" w:hAnsi="Arial" w:cs="Arial"/>
          <w:sz w:val="24"/>
          <w:szCs w:val="24"/>
        </w:rPr>
        <w:t xml:space="preserve"> </w:t>
      </w:r>
      <w:r w:rsidR="002B2AAA">
        <w:rPr>
          <w:rFonts w:ascii="Arial" w:hAnsi="Arial" w:cs="Arial"/>
          <w:sz w:val="24"/>
          <w:szCs w:val="24"/>
        </w:rPr>
        <w:t>the following reasons:</w:t>
      </w:r>
    </w:p>
    <w:p w14:paraId="7630835E" w14:textId="77777777" w:rsidR="002B2AAA" w:rsidRPr="002B2AAA" w:rsidRDefault="002B2AAA" w:rsidP="002B2AAA">
      <w:pPr>
        <w:pStyle w:val="ListParagraph"/>
        <w:numPr>
          <w:ilvl w:val="0"/>
          <w:numId w:val="23"/>
        </w:numPr>
        <w:spacing w:after="0" w:line="240" w:lineRule="auto"/>
        <w:rPr>
          <w:rFonts w:ascii="Arial" w:hAnsi="Arial" w:cs="Arial"/>
          <w:sz w:val="24"/>
          <w:szCs w:val="24"/>
        </w:rPr>
      </w:pPr>
      <w:r w:rsidRPr="002B2AAA">
        <w:rPr>
          <w:rFonts w:ascii="Arial" w:hAnsi="Arial" w:cs="Arial"/>
          <w:sz w:val="24"/>
          <w:szCs w:val="24"/>
        </w:rPr>
        <w:t>Provider not accepting new patients</w:t>
      </w:r>
    </w:p>
    <w:p w14:paraId="3E2CAC4D" w14:textId="77777777" w:rsidR="002B2AAA" w:rsidRPr="002B2AAA" w:rsidRDefault="002B2AAA" w:rsidP="002B2AAA">
      <w:pPr>
        <w:pStyle w:val="ListParagraph"/>
        <w:numPr>
          <w:ilvl w:val="0"/>
          <w:numId w:val="23"/>
        </w:numPr>
        <w:spacing w:after="0" w:line="240" w:lineRule="auto"/>
        <w:rPr>
          <w:rFonts w:ascii="Arial" w:hAnsi="Arial" w:cs="Arial"/>
          <w:sz w:val="24"/>
          <w:szCs w:val="24"/>
        </w:rPr>
      </w:pPr>
      <w:r w:rsidRPr="002B2AAA">
        <w:rPr>
          <w:rFonts w:ascii="Arial" w:hAnsi="Arial" w:cs="Arial"/>
          <w:sz w:val="24"/>
          <w:szCs w:val="24"/>
        </w:rPr>
        <w:t>Timely access to provider</w:t>
      </w:r>
    </w:p>
    <w:p w14:paraId="52DAE940" w14:textId="77777777" w:rsidR="002B2AAA" w:rsidRPr="002B2AAA" w:rsidRDefault="002B2AAA" w:rsidP="002B2AAA">
      <w:pPr>
        <w:pStyle w:val="ListParagraph"/>
        <w:numPr>
          <w:ilvl w:val="0"/>
          <w:numId w:val="23"/>
        </w:numPr>
        <w:spacing w:after="0" w:line="240" w:lineRule="auto"/>
        <w:rPr>
          <w:rFonts w:ascii="Arial" w:hAnsi="Arial" w:cs="Arial"/>
          <w:sz w:val="24"/>
          <w:szCs w:val="24"/>
        </w:rPr>
      </w:pPr>
      <w:r w:rsidRPr="002B2AAA">
        <w:rPr>
          <w:rFonts w:ascii="Arial" w:hAnsi="Arial" w:cs="Arial"/>
          <w:sz w:val="24"/>
          <w:szCs w:val="24"/>
        </w:rPr>
        <w:t>Specialized procedure/area of expertise</w:t>
      </w:r>
    </w:p>
    <w:p w14:paraId="33332FF1" w14:textId="77777777" w:rsidR="002B2AAA" w:rsidRPr="002B2AAA" w:rsidRDefault="002B2AAA" w:rsidP="002B2AAA">
      <w:pPr>
        <w:pStyle w:val="ListParagraph"/>
        <w:numPr>
          <w:ilvl w:val="0"/>
          <w:numId w:val="23"/>
        </w:numPr>
        <w:spacing w:after="0" w:line="240" w:lineRule="auto"/>
        <w:rPr>
          <w:rFonts w:ascii="Arial" w:hAnsi="Arial" w:cs="Arial"/>
          <w:sz w:val="24"/>
          <w:szCs w:val="24"/>
        </w:rPr>
      </w:pPr>
      <w:r w:rsidRPr="002B2AAA">
        <w:rPr>
          <w:rFonts w:ascii="Arial" w:hAnsi="Arial" w:cs="Arial"/>
          <w:sz w:val="24"/>
          <w:szCs w:val="24"/>
        </w:rPr>
        <w:t>Geographic accessibility of provider</w:t>
      </w:r>
    </w:p>
    <w:p w14:paraId="4DC2F569" w14:textId="77777777" w:rsidR="00573B71" w:rsidRPr="003A4F22" w:rsidRDefault="002B2AAA" w:rsidP="00846C93">
      <w:pPr>
        <w:pStyle w:val="ListParagraph"/>
        <w:numPr>
          <w:ilvl w:val="0"/>
          <w:numId w:val="23"/>
        </w:numPr>
        <w:spacing w:after="0" w:line="240" w:lineRule="auto"/>
        <w:rPr>
          <w:rFonts w:ascii="Arial" w:hAnsi="Arial" w:cs="Arial"/>
          <w:sz w:val="24"/>
          <w:szCs w:val="24"/>
        </w:rPr>
      </w:pPr>
      <w:r w:rsidRPr="003A4F22">
        <w:rPr>
          <w:rFonts w:ascii="Arial" w:hAnsi="Arial" w:cs="Arial"/>
          <w:sz w:val="24"/>
          <w:szCs w:val="24"/>
        </w:rPr>
        <w:t>Provider type specialty or covered service unavailable</w:t>
      </w:r>
    </w:p>
    <w:p w14:paraId="4B4D9436" w14:textId="35535B09" w:rsidR="00423DD7" w:rsidRDefault="00423DD7" w:rsidP="00EE24E8">
      <w:pPr>
        <w:tabs>
          <w:tab w:val="left" w:pos="720"/>
        </w:tabs>
        <w:spacing w:before="240" w:after="240"/>
        <w:ind w:left="720"/>
        <w:rPr>
          <w:rFonts w:ascii="Arial" w:hAnsi="Arial" w:cs="Arial"/>
          <w:sz w:val="24"/>
          <w:szCs w:val="24"/>
        </w:rPr>
      </w:pPr>
      <w:r>
        <w:rPr>
          <w:rFonts w:ascii="Arial" w:hAnsi="Arial" w:cs="Arial"/>
          <w:sz w:val="24"/>
          <w:szCs w:val="24"/>
        </w:rPr>
        <w:t>See the instructions for the Non-Network Requests Report Tab</w:t>
      </w:r>
      <w:r w:rsidR="007D6482">
        <w:rPr>
          <w:rFonts w:ascii="Arial" w:hAnsi="Arial" w:cs="Arial"/>
          <w:sz w:val="24"/>
          <w:szCs w:val="24"/>
        </w:rPr>
        <w:t xml:space="preserve"> </w:t>
      </w:r>
      <w:r>
        <w:rPr>
          <w:rFonts w:ascii="Arial" w:hAnsi="Arial" w:cs="Arial"/>
          <w:sz w:val="24"/>
          <w:szCs w:val="24"/>
        </w:rPr>
        <w:t>in the Annual Network Submission Instruction Manual for further information.</w:t>
      </w:r>
    </w:p>
    <w:p w14:paraId="7A3BB800" w14:textId="77777777" w:rsidR="00CD7255" w:rsidRPr="007A6F6F" w:rsidRDefault="007A6F6F" w:rsidP="001C1555">
      <w:pPr>
        <w:numPr>
          <w:ilvl w:val="0"/>
          <w:numId w:val="26"/>
        </w:numPr>
        <w:spacing w:after="240"/>
        <w:rPr>
          <w:rFonts w:ascii="Arial" w:hAnsi="Arial" w:cs="Arial"/>
          <w:sz w:val="24"/>
          <w:szCs w:val="24"/>
        </w:rPr>
      </w:pPr>
      <w:r w:rsidRPr="002D71D4">
        <w:rPr>
          <w:rFonts w:ascii="Arial" w:hAnsi="Arial" w:cs="Arial"/>
          <w:b/>
          <w:bCs/>
          <w:sz w:val="24"/>
          <w:szCs w:val="24"/>
        </w:rPr>
        <w:t>The D</w:t>
      </w:r>
      <w:r w:rsidR="00950A57">
        <w:rPr>
          <w:rFonts w:ascii="Arial" w:hAnsi="Arial" w:cs="Arial"/>
          <w:b/>
          <w:bCs/>
          <w:sz w:val="24"/>
          <w:szCs w:val="24"/>
        </w:rPr>
        <w:t>MHC</w:t>
      </w:r>
      <w:r w:rsidRPr="002D71D4">
        <w:rPr>
          <w:rFonts w:ascii="Arial" w:hAnsi="Arial" w:cs="Arial"/>
          <w:b/>
          <w:bCs/>
          <w:sz w:val="24"/>
          <w:szCs w:val="24"/>
        </w:rPr>
        <w:t xml:space="preserve"> made changes to the Network Service Area and Enrollment Report Form for R</w:t>
      </w:r>
      <w:r w:rsidR="00950A57">
        <w:rPr>
          <w:rFonts w:ascii="Arial" w:hAnsi="Arial" w:cs="Arial"/>
          <w:b/>
          <w:bCs/>
          <w:sz w:val="24"/>
          <w:szCs w:val="24"/>
        </w:rPr>
        <w:t xml:space="preserve">eporting </w:t>
      </w:r>
      <w:r w:rsidRPr="002D71D4">
        <w:rPr>
          <w:rFonts w:ascii="Arial" w:hAnsi="Arial" w:cs="Arial"/>
          <w:b/>
          <w:bCs/>
          <w:sz w:val="24"/>
          <w:szCs w:val="24"/>
        </w:rPr>
        <w:t>Y</w:t>
      </w:r>
      <w:r w:rsidR="00950A57">
        <w:rPr>
          <w:rFonts w:ascii="Arial" w:hAnsi="Arial" w:cs="Arial"/>
          <w:b/>
          <w:bCs/>
          <w:sz w:val="24"/>
          <w:szCs w:val="24"/>
        </w:rPr>
        <w:t>ear</w:t>
      </w:r>
      <w:r w:rsidRPr="002D71D4">
        <w:rPr>
          <w:rFonts w:ascii="Arial" w:hAnsi="Arial" w:cs="Arial"/>
          <w:b/>
          <w:bCs/>
          <w:sz w:val="24"/>
          <w:szCs w:val="24"/>
        </w:rPr>
        <w:t xml:space="preserve"> 2025. Within the updated report form, when is a health plan required to </w:t>
      </w:r>
      <w:r w:rsidR="00573B71">
        <w:rPr>
          <w:rFonts w:ascii="Arial" w:hAnsi="Arial" w:cs="Arial"/>
          <w:b/>
          <w:bCs/>
          <w:sz w:val="24"/>
          <w:szCs w:val="24"/>
        </w:rPr>
        <w:t>report</w:t>
      </w:r>
      <w:r w:rsidR="00573B71" w:rsidRPr="002D71D4">
        <w:rPr>
          <w:rFonts w:ascii="Arial" w:hAnsi="Arial" w:cs="Arial"/>
          <w:b/>
          <w:bCs/>
          <w:sz w:val="24"/>
          <w:szCs w:val="24"/>
        </w:rPr>
        <w:t xml:space="preserve"> </w:t>
      </w:r>
      <w:r w:rsidRPr="002D71D4">
        <w:rPr>
          <w:rFonts w:ascii="Arial" w:hAnsi="Arial" w:cs="Arial"/>
          <w:b/>
          <w:bCs/>
          <w:sz w:val="24"/>
          <w:szCs w:val="24"/>
        </w:rPr>
        <w:t xml:space="preserve">the </w:t>
      </w:r>
      <w:r w:rsidR="00573B71">
        <w:rPr>
          <w:rFonts w:ascii="Arial" w:hAnsi="Arial" w:cs="Arial"/>
          <w:b/>
          <w:bCs/>
          <w:sz w:val="24"/>
          <w:szCs w:val="24"/>
        </w:rPr>
        <w:t xml:space="preserve">individual </w:t>
      </w:r>
      <w:r w:rsidRPr="002D71D4">
        <w:rPr>
          <w:rFonts w:ascii="Arial" w:hAnsi="Arial" w:cs="Arial"/>
          <w:b/>
          <w:bCs/>
          <w:sz w:val="24"/>
          <w:szCs w:val="24"/>
        </w:rPr>
        <w:t xml:space="preserve">ZIP Codes </w:t>
      </w:r>
      <w:r w:rsidR="00573B71">
        <w:rPr>
          <w:rFonts w:ascii="Arial" w:hAnsi="Arial" w:cs="Arial"/>
          <w:b/>
          <w:bCs/>
          <w:sz w:val="24"/>
          <w:szCs w:val="24"/>
        </w:rPr>
        <w:t>that are part of the</w:t>
      </w:r>
      <w:r w:rsidRPr="002D71D4">
        <w:rPr>
          <w:rFonts w:ascii="Arial" w:hAnsi="Arial" w:cs="Arial"/>
          <w:b/>
          <w:bCs/>
          <w:sz w:val="24"/>
          <w:szCs w:val="24"/>
        </w:rPr>
        <w:t xml:space="preserve"> network service area?</w:t>
      </w:r>
    </w:p>
    <w:p w14:paraId="600ED6C7" w14:textId="77777777" w:rsidR="00573B71" w:rsidRDefault="00950A57" w:rsidP="00950A57">
      <w:pPr>
        <w:spacing w:after="240"/>
        <w:ind w:left="720"/>
        <w:rPr>
          <w:rFonts w:ascii="Arial" w:hAnsi="Arial" w:cs="Arial"/>
          <w:sz w:val="24"/>
          <w:szCs w:val="24"/>
        </w:rPr>
      </w:pPr>
      <w:r>
        <w:rPr>
          <w:rFonts w:ascii="Arial" w:hAnsi="Arial" w:cs="Arial"/>
          <w:sz w:val="24"/>
          <w:szCs w:val="24"/>
        </w:rPr>
        <w:t>For R</w:t>
      </w:r>
      <w:r w:rsidRPr="00950A57">
        <w:rPr>
          <w:rFonts w:ascii="Arial" w:hAnsi="Arial" w:cs="Arial"/>
          <w:sz w:val="24"/>
          <w:szCs w:val="24"/>
        </w:rPr>
        <w:t xml:space="preserve">eporting </w:t>
      </w:r>
      <w:r>
        <w:rPr>
          <w:rFonts w:ascii="Arial" w:hAnsi="Arial" w:cs="Arial"/>
          <w:sz w:val="24"/>
          <w:szCs w:val="24"/>
        </w:rPr>
        <w:t>Y</w:t>
      </w:r>
      <w:r w:rsidRPr="00950A57">
        <w:rPr>
          <w:rFonts w:ascii="Arial" w:hAnsi="Arial" w:cs="Arial"/>
          <w:sz w:val="24"/>
          <w:szCs w:val="24"/>
        </w:rPr>
        <w:t xml:space="preserve">ear 2025, the DMHC has added a new field, entitled </w:t>
      </w:r>
      <w:r>
        <w:rPr>
          <w:rFonts w:ascii="Arial" w:hAnsi="Arial" w:cs="Arial"/>
          <w:sz w:val="24"/>
          <w:szCs w:val="24"/>
        </w:rPr>
        <w:t>“</w:t>
      </w:r>
      <w:r w:rsidRPr="00950A57">
        <w:rPr>
          <w:rFonts w:ascii="Arial" w:hAnsi="Arial" w:cs="Arial"/>
          <w:sz w:val="24"/>
          <w:szCs w:val="24"/>
        </w:rPr>
        <w:t>Full or Partial County</w:t>
      </w:r>
      <w:r>
        <w:rPr>
          <w:rFonts w:ascii="Arial" w:hAnsi="Arial" w:cs="Arial"/>
          <w:sz w:val="24"/>
          <w:szCs w:val="24"/>
        </w:rPr>
        <w:t>”</w:t>
      </w:r>
      <w:r w:rsidRPr="00950A57">
        <w:rPr>
          <w:rFonts w:ascii="Arial" w:hAnsi="Arial" w:cs="Arial"/>
          <w:sz w:val="24"/>
          <w:szCs w:val="24"/>
        </w:rPr>
        <w:t xml:space="preserve"> to the Network Service Area Report Tab. For each county within a health plan</w:t>
      </w:r>
      <w:r>
        <w:rPr>
          <w:rFonts w:ascii="Arial" w:hAnsi="Arial" w:cs="Arial"/>
          <w:sz w:val="24"/>
          <w:szCs w:val="24"/>
        </w:rPr>
        <w:t>’</w:t>
      </w:r>
      <w:r w:rsidRPr="00950A57">
        <w:rPr>
          <w:rFonts w:ascii="Arial" w:hAnsi="Arial" w:cs="Arial"/>
          <w:sz w:val="24"/>
          <w:szCs w:val="24"/>
        </w:rPr>
        <w:t xml:space="preserve">s </w:t>
      </w:r>
      <w:r w:rsidR="00573B71">
        <w:rPr>
          <w:rFonts w:ascii="Arial" w:hAnsi="Arial" w:cs="Arial"/>
          <w:sz w:val="24"/>
          <w:szCs w:val="24"/>
        </w:rPr>
        <w:t>n</w:t>
      </w:r>
      <w:r w:rsidRPr="00950A57">
        <w:rPr>
          <w:rFonts w:ascii="Arial" w:hAnsi="Arial" w:cs="Arial"/>
          <w:sz w:val="24"/>
          <w:szCs w:val="24"/>
        </w:rPr>
        <w:t xml:space="preserve">etwork </w:t>
      </w:r>
      <w:r w:rsidR="00573B71">
        <w:rPr>
          <w:rFonts w:ascii="Arial" w:hAnsi="Arial" w:cs="Arial"/>
          <w:sz w:val="24"/>
          <w:szCs w:val="24"/>
        </w:rPr>
        <w:t>s</w:t>
      </w:r>
      <w:r w:rsidRPr="00950A57">
        <w:rPr>
          <w:rFonts w:ascii="Arial" w:hAnsi="Arial" w:cs="Arial"/>
          <w:sz w:val="24"/>
          <w:szCs w:val="24"/>
        </w:rPr>
        <w:t xml:space="preserve">ervice </w:t>
      </w:r>
      <w:r w:rsidR="00573B71">
        <w:rPr>
          <w:rFonts w:ascii="Arial" w:hAnsi="Arial" w:cs="Arial"/>
          <w:sz w:val="24"/>
          <w:szCs w:val="24"/>
        </w:rPr>
        <w:t>a</w:t>
      </w:r>
      <w:r w:rsidRPr="00950A57">
        <w:rPr>
          <w:rFonts w:ascii="Arial" w:hAnsi="Arial" w:cs="Arial"/>
          <w:sz w:val="24"/>
          <w:szCs w:val="24"/>
        </w:rPr>
        <w:t xml:space="preserve">rea, </w:t>
      </w:r>
      <w:r w:rsidR="00AB0DF8">
        <w:rPr>
          <w:rFonts w:ascii="Arial" w:hAnsi="Arial" w:cs="Arial"/>
          <w:sz w:val="24"/>
          <w:szCs w:val="24"/>
        </w:rPr>
        <w:t xml:space="preserve">a health </w:t>
      </w:r>
      <w:r w:rsidRPr="00950A57">
        <w:rPr>
          <w:rFonts w:ascii="Arial" w:hAnsi="Arial" w:cs="Arial"/>
          <w:sz w:val="24"/>
          <w:szCs w:val="24"/>
        </w:rPr>
        <w:t xml:space="preserve">plan must </w:t>
      </w:r>
      <w:r w:rsidR="00573B71">
        <w:rPr>
          <w:rFonts w:ascii="Arial" w:hAnsi="Arial" w:cs="Arial"/>
          <w:sz w:val="24"/>
          <w:szCs w:val="24"/>
        </w:rPr>
        <w:t>report</w:t>
      </w:r>
      <w:r w:rsidRPr="00950A57">
        <w:rPr>
          <w:rFonts w:ascii="Arial" w:hAnsi="Arial" w:cs="Arial"/>
          <w:sz w:val="24"/>
          <w:szCs w:val="24"/>
        </w:rPr>
        <w:t xml:space="preserve"> whether the </w:t>
      </w:r>
      <w:r w:rsidR="00312EBA">
        <w:rPr>
          <w:rFonts w:ascii="Arial" w:hAnsi="Arial" w:cs="Arial"/>
          <w:sz w:val="24"/>
          <w:szCs w:val="24"/>
        </w:rPr>
        <w:t xml:space="preserve">network </w:t>
      </w:r>
      <w:r w:rsidRPr="00950A57">
        <w:rPr>
          <w:rFonts w:ascii="Arial" w:hAnsi="Arial" w:cs="Arial"/>
          <w:sz w:val="24"/>
          <w:szCs w:val="24"/>
        </w:rPr>
        <w:t>is approved to operate in the entire county (“full”) or only a portion of the county (“partial”). By indicating the plan</w:t>
      </w:r>
      <w:r w:rsidR="00312EBA">
        <w:rPr>
          <w:rFonts w:ascii="Arial" w:hAnsi="Arial" w:cs="Arial"/>
          <w:sz w:val="24"/>
          <w:szCs w:val="24"/>
        </w:rPr>
        <w:t>’s</w:t>
      </w:r>
      <w:r w:rsidRPr="00950A57">
        <w:rPr>
          <w:rFonts w:ascii="Arial" w:hAnsi="Arial" w:cs="Arial"/>
          <w:sz w:val="24"/>
          <w:szCs w:val="24"/>
        </w:rPr>
        <w:t xml:space="preserve"> </w:t>
      </w:r>
      <w:r w:rsidR="00312EBA">
        <w:rPr>
          <w:rFonts w:ascii="Arial" w:hAnsi="Arial" w:cs="Arial"/>
          <w:sz w:val="24"/>
          <w:szCs w:val="24"/>
        </w:rPr>
        <w:t xml:space="preserve">network </w:t>
      </w:r>
      <w:r w:rsidRPr="00950A57">
        <w:rPr>
          <w:rFonts w:ascii="Arial" w:hAnsi="Arial" w:cs="Arial"/>
          <w:sz w:val="24"/>
          <w:szCs w:val="24"/>
        </w:rPr>
        <w:t xml:space="preserve">is approved for the full county, the plan is affirming that </w:t>
      </w:r>
      <w:r w:rsidR="00312EBA">
        <w:rPr>
          <w:rFonts w:ascii="Arial" w:hAnsi="Arial" w:cs="Arial"/>
          <w:sz w:val="24"/>
          <w:szCs w:val="24"/>
        </w:rPr>
        <w:t>the network</w:t>
      </w:r>
      <w:r w:rsidRPr="00950A57">
        <w:rPr>
          <w:rFonts w:ascii="Arial" w:hAnsi="Arial" w:cs="Arial"/>
          <w:sz w:val="24"/>
          <w:szCs w:val="24"/>
        </w:rPr>
        <w:t xml:space="preserve"> was approved </w:t>
      </w:r>
      <w:r w:rsidR="00312EBA">
        <w:rPr>
          <w:rFonts w:ascii="Arial" w:hAnsi="Arial" w:cs="Arial"/>
          <w:sz w:val="24"/>
          <w:szCs w:val="24"/>
        </w:rPr>
        <w:t xml:space="preserve">by the DMHC </w:t>
      </w:r>
      <w:r w:rsidRPr="00950A57">
        <w:rPr>
          <w:rFonts w:ascii="Arial" w:hAnsi="Arial" w:cs="Arial"/>
          <w:sz w:val="24"/>
          <w:szCs w:val="24"/>
        </w:rPr>
        <w:t>to operate in every ZIP Code within the county</w:t>
      </w:r>
      <w:r w:rsidR="002B75FE">
        <w:rPr>
          <w:rFonts w:ascii="Arial" w:hAnsi="Arial" w:cs="Arial"/>
          <w:sz w:val="24"/>
          <w:szCs w:val="24"/>
        </w:rPr>
        <w:t xml:space="preserve"> pursuant to sections 1351 and 1352, and the regulations promulgated thereunder</w:t>
      </w:r>
      <w:r w:rsidRPr="00950A57">
        <w:rPr>
          <w:rFonts w:ascii="Arial" w:hAnsi="Arial" w:cs="Arial"/>
          <w:sz w:val="24"/>
          <w:szCs w:val="24"/>
        </w:rPr>
        <w:t xml:space="preserve">. By indicating the </w:t>
      </w:r>
      <w:r w:rsidR="00312EBA">
        <w:rPr>
          <w:rFonts w:ascii="Arial" w:hAnsi="Arial" w:cs="Arial"/>
          <w:sz w:val="24"/>
          <w:szCs w:val="24"/>
        </w:rPr>
        <w:t>network</w:t>
      </w:r>
      <w:r w:rsidR="00312EBA" w:rsidRPr="00950A57">
        <w:rPr>
          <w:rFonts w:ascii="Arial" w:hAnsi="Arial" w:cs="Arial"/>
          <w:sz w:val="24"/>
          <w:szCs w:val="24"/>
        </w:rPr>
        <w:t xml:space="preserve"> </w:t>
      </w:r>
      <w:r w:rsidRPr="00950A57">
        <w:rPr>
          <w:rFonts w:ascii="Arial" w:hAnsi="Arial" w:cs="Arial"/>
          <w:sz w:val="24"/>
          <w:szCs w:val="24"/>
        </w:rPr>
        <w:t xml:space="preserve">is approved for a partial county, the plan is affirming that </w:t>
      </w:r>
      <w:r w:rsidR="00312EBA">
        <w:rPr>
          <w:rFonts w:ascii="Arial" w:hAnsi="Arial" w:cs="Arial"/>
          <w:sz w:val="24"/>
          <w:szCs w:val="24"/>
        </w:rPr>
        <w:t>the network</w:t>
      </w:r>
      <w:r w:rsidRPr="00950A57">
        <w:rPr>
          <w:rFonts w:ascii="Arial" w:hAnsi="Arial" w:cs="Arial"/>
          <w:sz w:val="24"/>
          <w:szCs w:val="24"/>
        </w:rPr>
        <w:t xml:space="preserve"> is approved to operate in one or more ZIP Codes within the county</w:t>
      </w:r>
      <w:r w:rsidR="00ED1DC8">
        <w:rPr>
          <w:rFonts w:ascii="Arial" w:hAnsi="Arial" w:cs="Arial"/>
          <w:sz w:val="24"/>
          <w:szCs w:val="24"/>
        </w:rPr>
        <w:t>,</w:t>
      </w:r>
      <w:r w:rsidRPr="00950A57">
        <w:rPr>
          <w:rFonts w:ascii="Arial" w:hAnsi="Arial" w:cs="Arial"/>
          <w:sz w:val="24"/>
          <w:szCs w:val="24"/>
        </w:rPr>
        <w:t xml:space="preserve"> but not the complete county.</w:t>
      </w:r>
    </w:p>
    <w:p w14:paraId="34527705" w14:textId="77777777" w:rsidR="007A6F6F" w:rsidRPr="007A6F6F" w:rsidRDefault="00950A57" w:rsidP="00950A57">
      <w:pPr>
        <w:spacing w:after="240"/>
        <w:ind w:left="720"/>
        <w:rPr>
          <w:rFonts w:ascii="Arial" w:hAnsi="Arial" w:cs="Arial"/>
          <w:sz w:val="24"/>
          <w:szCs w:val="24"/>
        </w:rPr>
      </w:pPr>
      <w:r w:rsidRPr="00950A57">
        <w:rPr>
          <w:rFonts w:ascii="Arial" w:hAnsi="Arial" w:cs="Arial"/>
          <w:sz w:val="24"/>
          <w:szCs w:val="24"/>
        </w:rPr>
        <w:t xml:space="preserve">If a </w:t>
      </w:r>
      <w:r w:rsidR="00AB0DF8">
        <w:rPr>
          <w:rFonts w:ascii="Arial" w:hAnsi="Arial" w:cs="Arial"/>
          <w:sz w:val="24"/>
          <w:szCs w:val="24"/>
        </w:rPr>
        <w:t xml:space="preserve">health </w:t>
      </w:r>
      <w:r w:rsidRPr="00950A57">
        <w:rPr>
          <w:rFonts w:ascii="Arial" w:hAnsi="Arial" w:cs="Arial"/>
          <w:sz w:val="24"/>
          <w:szCs w:val="24"/>
        </w:rPr>
        <w:t>plan reports a county as a “full” county</w:t>
      </w:r>
      <w:r w:rsidR="00AD4A79">
        <w:rPr>
          <w:rFonts w:ascii="Arial" w:hAnsi="Arial" w:cs="Arial"/>
          <w:sz w:val="24"/>
          <w:szCs w:val="24"/>
        </w:rPr>
        <w:t xml:space="preserve"> for the network</w:t>
      </w:r>
      <w:r w:rsidRPr="00950A57">
        <w:rPr>
          <w:rFonts w:ascii="Arial" w:hAnsi="Arial" w:cs="Arial"/>
          <w:sz w:val="24"/>
          <w:szCs w:val="24"/>
        </w:rPr>
        <w:t xml:space="preserve">, then the </w:t>
      </w:r>
      <w:r w:rsidR="00AB0DF8">
        <w:rPr>
          <w:rFonts w:ascii="Arial" w:hAnsi="Arial" w:cs="Arial"/>
          <w:sz w:val="24"/>
          <w:szCs w:val="24"/>
        </w:rPr>
        <w:t xml:space="preserve">health </w:t>
      </w:r>
      <w:r w:rsidRPr="00950A57">
        <w:rPr>
          <w:rFonts w:ascii="Arial" w:hAnsi="Arial" w:cs="Arial"/>
          <w:sz w:val="24"/>
          <w:szCs w:val="24"/>
        </w:rPr>
        <w:t xml:space="preserve">plan </w:t>
      </w:r>
      <w:r w:rsidR="00573B71">
        <w:rPr>
          <w:rFonts w:ascii="Arial" w:hAnsi="Arial" w:cs="Arial"/>
          <w:sz w:val="24"/>
          <w:szCs w:val="24"/>
        </w:rPr>
        <w:t>is not required</w:t>
      </w:r>
      <w:r w:rsidRPr="00950A57">
        <w:rPr>
          <w:rFonts w:ascii="Arial" w:hAnsi="Arial" w:cs="Arial"/>
          <w:sz w:val="24"/>
          <w:szCs w:val="24"/>
        </w:rPr>
        <w:t xml:space="preserve"> to list all of the corresponding ZIP Codes for that county. If a </w:t>
      </w:r>
      <w:r w:rsidR="00AB0DF8">
        <w:rPr>
          <w:rFonts w:ascii="Arial" w:hAnsi="Arial" w:cs="Arial"/>
          <w:sz w:val="24"/>
          <w:szCs w:val="24"/>
        </w:rPr>
        <w:t xml:space="preserve">health </w:t>
      </w:r>
      <w:r w:rsidRPr="00950A57">
        <w:rPr>
          <w:rFonts w:ascii="Arial" w:hAnsi="Arial" w:cs="Arial"/>
          <w:sz w:val="24"/>
          <w:szCs w:val="24"/>
        </w:rPr>
        <w:t>plan reports a county as a “partial” county</w:t>
      </w:r>
      <w:r w:rsidR="00AD4A79">
        <w:rPr>
          <w:rFonts w:ascii="Arial" w:hAnsi="Arial" w:cs="Arial"/>
          <w:sz w:val="24"/>
          <w:szCs w:val="24"/>
        </w:rPr>
        <w:t xml:space="preserve"> for the network</w:t>
      </w:r>
      <w:r w:rsidRPr="00950A57">
        <w:rPr>
          <w:rFonts w:ascii="Arial" w:hAnsi="Arial" w:cs="Arial"/>
          <w:sz w:val="24"/>
          <w:szCs w:val="24"/>
        </w:rPr>
        <w:t xml:space="preserve">, the plan must list each ZIP Code the </w:t>
      </w:r>
      <w:r w:rsidR="00AD4A79">
        <w:rPr>
          <w:rFonts w:ascii="Arial" w:hAnsi="Arial" w:cs="Arial"/>
          <w:sz w:val="24"/>
          <w:szCs w:val="24"/>
        </w:rPr>
        <w:t>DMHC approved the network to</w:t>
      </w:r>
      <w:r w:rsidRPr="00950A57">
        <w:rPr>
          <w:rFonts w:ascii="Arial" w:hAnsi="Arial" w:cs="Arial"/>
          <w:sz w:val="24"/>
          <w:szCs w:val="24"/>
        </w:rPr>
        <w:t xml:space="preserve"> operate in for </w:t>
      </w:r>
      <w:r w:rsidR="00573B71" w:rsidRPr="00950A57">
        <w:rPr>
          <w:rFonts w:ascii="Arial" w:hAnsi="Arial" w:cs="Arial"/>
          <w:sz w:val="24"/>
          <w:szCs w:val="24"/>
        </w:rPr>
        <w:t>th</w:t>
      </w:r>
      <w:r w:rsidR="00573B71">
        <w:rPr>
          <w:rFonts w:ascii="Arial" w:hAnsi="Arial" w:cs="Arial"/>
          <w:sz w:val="24"/>
          <w:szCs w:val="24"/>
        </w:rPr>
        <w:t>e identified</w:t>
      </w:r>
      <w:r w:rsidR="00573B71" w:rsidRPr="00950A57">
        <w:rPr>
          <w:rFonts w:ascii="Arial" w:hAnsi="Arial" w:cs="Arial"/>
          <w:sz w:val="24"/>
          <w:szCs w:val="24"/>
        </w:rPr>
        <w:t xml:space="preserve"> </w:t>
      </w:r>
      <w:r w:rsidRPr="00950A57">
        <w:rPr>
          <w:rFonts w:ascii="Arial" w:hAnsi="Arial" w:cs="Arial"/>
          <w:sz w:val="24"/>
          <w:szCs w:val="24"/>
        </w:rPr>
        <w:t xml:space="preserve">county. The DMHC made this change to </w:t>
      </w:r>
      <w:r w:rsidR="00573B71">
        <w:rPr>
          <w:rFonts w:ascii="Arial" w:hAnsi="Arial" w:cs="Arial"/>
          <w:sz w:val="24"/>
          <w:szCs w:val="24"/>
        </w:rPr>
        <w:t xml:space="preserve">simplify </w:t>
      </w:r>
      <w:r w:rsidR="00894696">
        <w:rPr>
          <w:rFonts w:ascii="Arial" w:hAnsi="Arial" w:cs="Arial"/>
          <w:sz w:val="24"/>
          <w:szCs w:val="24"/>
        </w:rPr>
        <w:t xml:space="preserve">network service area </w:t>
      </w:r>
      <w:r w:rsidR="00573B71">
        <w:rPr>
          <w:rFonts w:ascii="Arial" w:hAnsi="Arial" w:cs="Arial"/>
          <w:sz w:val="24"/>
          <w:szCs w:val="24"/>
        </w:rPr>
        <w:t xml:space="preserve">reporting, and </w:t>
      </w:r>
      <w:r w:rsidR="00894696">
        <w:rPr>
          <w:rFonts w:ascii="Arial" w:hAnsi="Arial" w:cs="Arial"/>
          <w:sz w:val="24"/>
          <w:szCs w:val="24"/>
        </w:rPr>
        <w:t xml:space="preserve">to </w:t>
      </w:r>
      <w:r w:rsidR="00573B71">
        <w:rPr>
          <w:rFonts w:ascii="Arial" w:hAnsi="Arial" w:cs="Arial"/>
          <w:sz w:val="24"/>
          <w:szCs w:val="24"/>
        </w:rPr>
        <w:t xml:space="preserve">better </w:t>
      </w:r>
      <w:r w:rsidRPr="00950A57">
        <w:rPr>
          <w:rFonts w:ascii="Arial" w:hAnsi="Arial" w:cs="Arial"/>
          <w:sz w:val="24"/>
          <w:szCs w:val="24"/>
        </w:rPr>
        <w:t xml:space="preserve">align </w:t>
      </w:r>
      <w:r w:rsidR="00894696">
        <w:rPr>
          <w:rFonts w:ascii="Arial" w:hAnsi="Arial" w:cs="Arial"/>
          <w:sz w:val="24"/>
          <w:szCs w:val="24"/>
        </w:rPr>
        <w:t xml:space="preserve">a </w:t>
      </w:r>
      <w:r w:rsidR="00573B71">
        <w:rPr>
          <w:rFonts w:ascii="Arial" w:hAnsi="Arial" w:cs="Arial"/>
          <w:sz w:val="24"/>
          <w:szCs w:val="24"/>
        </w:rPr>
        <w:t>health plan</w:t>
      </w:r>
      <w:r w:rsidR="00894696">
        <w:rPr>
          <w:rFonts w:ascii="Arial" w:hAnsi="Arial" w:cs="Arial"/>
          <w:sz w:val="24"/>
          <w:szCs w:val="24"/>
        </w:rPr>
        <w:t>’s</w:t>
      </w:r>
      <w:r w:rsidRPr="00950A57">
        <w:rPr>
          <w:rFonts w:ascii="Arial" w:hAnsi="Arial" w:cs="Arial"/>
          <w:sz w:val="24"/>
          <w:szCs w:val="24"/>
        </w:rPr>
        <w:t xml:space="preserve"> </w:t>
      </w:r>
      <w:r w:rsidR="00573B71">
        <w:rPr>
          <w:rFonts w:ascii="Arial" w:hAnsi="Arial" w:cs="Arial"/>
          <w:sz w:val="24"/>
          <w:szCs w:val="24"/>
        </w:rPr>
        <w:t>n</w:t>
      </w:r>
      <w:r w:rsidRPr="00950A57">
        <w:rPr>
          <w:rFonts w:ascii="Arial" w:hAnsi="Arial" w:cs="Arial"/>
          <w:sz w:val="24"/>
          <w:szCs w:val="24"/>
        </w:rPr>
        <w:t xml:space="preserve">etwork </w:t>
      </w:r>
      <w:r w:rsidR="00573B71">
        <w:rPr>
          <w:rFonts w:ascii="Arial" w:hAnsi="Arial" w:cs="Arial"/>
          <w:sz w:val="24"/>
          <w:szCs w:val="24"/>
        </w:rPr>
        <w:t>s</w:t>
      </w:r>
      <w:r w:rsidRPr="00950A57">
        <w:rPr>
          <w:rFonts w:ascii="Arial" w:hAnsi="Arial" w:cs="Arial"/>
          <w:sz w:val="24"/>
          <w:szCs w:val="24"/>
        </w:rPr>
        <w:t xml:space="preserve">ervice </w:t>
      </w:r>
      <w:r w:rsidR="00573B71">
        <w:rPr>
          <w:rFonts w:ascii="Arial" w:hAnsi="Arial" w:cs="Arial"/>
          <w:sz w:val="24"/>
          <w:szCs w:val="24"/>
        </w:rPr>
        <w:t>a</w:t>
      </w:r>
      <w:r w:rsidRPr="00950A57">
        <w:rPr>
          <w:rFonts w:ascii="Arial" w:hAnsi="Arial" w:cs="Arial"/>
          <w:sz w:val="24"/>
          <w:szCs w:val="24"/>
        </w:rPr>
        <w:t xml:space="preserve">rea reporting </w:t>
      </w:r>
      <w:r w:rsidR="00573B71">
        <w:rPr>
          <w:rFonts w:ascii="Arial" w:hAnsi="Arial" w:cs="Arial"/>
          <w:sz w:val="24"/>
          <w:szCs w:val="24"/>
        </w:rPr>
        <w:t>in</w:t>
      </w:r>
      <w:r w:rsidRPr="00950A57">
        <w:rPr>
          <w:rFonts w:ascii="Arial" w:hAnsi="Arial" w:cs="Arial"/>
          <w:sz w:val="24"/>
          <w:szCs w:val="24"/>
        </w:rPr>
        <w:t xml:space="preserve"> </w:t>
      </w:r>
      <w:r w:rsidR="00573B71">
        <w:rPr>
          <w:rFonts w:ascii="Arial" w:hAnsi="Arial" w:cs="Arial"/>
          <w:sz w:val="24"/>
          <w:szCs w:val="24"/>
        </w:rPr>
        <w:t>licensure filing</w:t>
      </w:r>
      <w:r w:rsidR="00894696">
        <w:rPr>
          <w:rFonts w:ascii="Arial" w:hAnsi="Arial" w:cs="Arial"/>
          <w:sz w:val="24"/>
          <w:szCs w:val="24"/>
        </w:rPr>
        <w:t>s</w:t>
      </w:r>
      <w:r w:rsidR="00573B71">
        <w:rPr>
          <w:rFonts w:ascii="Arial" w:hAnsi="Arial" w:cs="Arial"/>
          <w:sz w:val="24"/>
          <w:szCs w:val="24"/>
        </w:rPr>
        <w:t xml:space="preserve"> </w:t>
      </w:r>
      <w:r w:rsidR="00017561">
        <w:rPr>
          <w:rFonts w:ascii="Arial" w:hAnsi="Arial" w:cs="Arial"/>
          <w:sz w:val="24"/>
          <w:szCs w:val="24"/>
        </w:rPr>
        <w:t>(</w:t>
      </w:r>
      <w:r w:rsidR="00017561" w:rsidRPr="00950A57">
        <w:rPr>
          <w:rFonts w:ascii="Arial" w:hAnsi="Arial" w:cs="Arial"/>
          <w:sz w:val="24"/>
          <w:szCs w:val="24"/>
        </w:rPr>
        <w:t>eFiling</w:t>
      </w:r>
      <w:r w:rsidR="00017561">
        <w:rPr>
          <w:rFonts w:ascii="Arial" w:hAnsi="Arial" w:cs="Arial"/>
          <w:sz w:val="24"/>
          <w:szCs w:val="24"/>
        </w:rPr>
        <w:t xml:space="preserve">) </w:t>
      </w:r>
      <w:r w:rsidR="00AB0DF8">
        <w:rPr>
          <w:rFonts w:ascii="Arial" w:hAnsi="Arial" w:cs="Arial"/>
          <w:sz w:val="24"/>
          <w:szCs w:val="24"/>
        </w:rPr>
        <w:t>with</w:t>
      </w:r>
      <w:r w:rsidR="00AB0DF8" w:rsidRPr="00950A57">
        <w:rPr>
          <w:rFonts w:ascii="Arial" w:hAnsi="Arial" w:cs="Arial"/>
          <w:sz w:val="24"/>
          <w:szCs w:val="24"/>
        </w:rPr>
        <w:t xml:space="preserve"> </w:t>
      </w:r>
      <w:r w:rsidRPr="00950A57">
        <w:rPr>
          <w:rFonts w:ascii="Arial" w:hAnsi="Arial" w:cs="Arial"/>
          <w:sz w:val="24"/>
          <w:szCs w:val="24"/>
        </w:rPr>
        <w:t xml:space="preserve">the Annual Network </w:t>
      </w:r>
      <w:r w:rsidR="00AB0DF8">
        <w:rPr>
          <w:rFonts w:ascii="Arial" w:hAnsi="Arial" w:cs="Arial"/>
          <w:sz w:val="24"/>
          <w:szCs w:val="24"/>
        </w:rPr>
        <w:t xml:space="preserve">Report </w:t>
      </w:r>
      <w:r w:rsidR="00573B71">
        <w:rPr>
          <w:rFonts w:ascii="Arial" w:hAnsi="Arial" w:cs="Arial"/>
          <w:sz w:val="24"/>
          <w:szCs w:val="24"/>
        </w:rPr>
        <w:t>s</w:t>
      </w:r>
      <w:r w:rsidRPr="00950A57">
        <w:rPr>
          <w:rFonts w:ascii="Arial" w:hAnsi="Arial" w:cs="Arial"/>
          <w:sz w:val="24"/>
          <w:szCs w:val="24"/>
        </w:rPr>
        <w:t>ubmission</w:t>
      </w:r>
      <w:r>
        <w:rPr>
          <w:rFonts w:ascii="Arial" w:hAnsi="Arial" w:cs="Arial"/>
          <w:sz w:val="24"/>
          <w:szCs w:val="24"/>
        </w:rPr>
        <w:t>.</w:t>
      </w:r>
    </w:p>
    <w:p w14:paraId="5AACD5C7" w14:textId="77777777" w:rsidR="007A6F6F" w:rsidRPr="007A6F6F" w:rsidRDefault="007A6F6F" w:rsidP="001C1555">
      <w:pPr>
        <w:numPr>
          <w:ilvl w:val="0"/>
          <w:numId w:val="26"/>
        </w:numPr>
        <w:spacing w:after="240"/>
        <w:rPr>
          <w:rFonts w:ascii="Arial" w:hAnsi="Arial" w:cs="Arial"/>
          <w:sz w:val="24"/>
          <w:szCs w:val="24"/>
        </w:rPr>
      </w:pPr>
      <w:r w:rsidRPr="002D71D4">
        <w:rPr>
          <w:rFonts w:ascii="Arial" w:hAnsi="Arial" w:cs="Arial"/>
          <w:b/>
          <w:bCs/>
          <w:sz w:val="24"/>
          <w:szCs w:val="24"/>
        </w:rPr>
        <w:lastRenderedPageBreak/>
        <w:t xml:space="preserve">The </w:t>
      </w:r>
      <w:r w:rsidR="00950A57">
        <w:rPr>
          <w:rFonts w:ascii="Arial" w:hAnsi="Arial" w:cs="Arial"/>
          <w:b/>
          <w:bCs/>
          <w:sz w:val="24"/>
          <w:szCs w:val="24"/>
        </w:rPr>
        <w:t>DMHC</w:t>
      </w:r>
      <w:r w:rsidRPr="002D71D4">
        <w:rPr>
          <w:rFonts w:ascii="Arial" w:hAnsi="Arial" w:cs="Arial"/>
          <w:b/>
          <w:bCs/>
          <w:sz w:val="24"/>
          <w:szCs w:val="24"/>
        </w:rPr>
        <w:t xml:space="preserve"> added the </w:t>
      </w:r>
      <w:r>
        <w:rPr>
          <w:rFonts w:ascii="Arial" w:hAnsi="Arial" w:cs="Arial"/>
          <w:b/>
          <w:bCs/>
          <w:sz w:val="24"/>
          <w:szCs w:val="24"/>
        </w:rPr>
        <w:t>“</w:t>
      </w:r>
      <w:r w:rsidRPr="002D71D4">
        <w:rPr>
          <w:rFonts w:ascii="Arial" w:hAnsi="Arial" w:cs="Arial"/>
          <w:b/>
          <w:bCs/>
          <w:sz w:val="24"/>
          <w:szCs w:val="24"/>
        </w:rPr>
        <w:t>Population Age Served</w:t>
      </w:r>
      <w:r>
        <w:rPr>
          <w:rFonts w:ascii="Arial" w:hAnsi="Arial" w:cs="Arial"/>
          <w:b/>
          <w:bCs/>
          <w:sz w:val="24"/>
          <w:szCs w:val="24"/>
        </w:rPr>
        <w:t>”</w:t>
      </w:r>
      <w:r w:rsidRPr="002D71D4">
        <w:rPr>
          <w:rFonts w:ascii="Arial" w:hAnsi="Arial" w:cs="Arial"/>
          <w:b/>
          <w:bCs/>
          <w:sz w:val="24"/>
          <w:szCs w:val="24"/>
        </w:rPr>
        <w:t xml:space="preserve"> field to several provider report forms for R</w:t>
      </w:r>
      <w:r w:rsidR="000F158B">
        <w:rPr>
          <w:rFonts w:ascii="Arial" w:hAnsi="Arial" w:cs="Arial"/>
          <w:b/>
          <w:bCs/>
          <w:sz w:val="24"/>
          <w:szCs w:val="24"/>
        </w:rPr>
        <w:t xml:space="preserve">eporting </w:t>
      </w:r>
      <w:r w:rsidRPr="002D71D4">
        <w:rPr>
          <w:rFonts w:ascii="Arial" w:hAnsi="Arial" w:cs="Arial"/>
          <w:b/>
          <w:bCs/>
          <w:sz w:val="24"/>
          <w:szCs w:val="24"/>
        </w:rPr>
        <w:t>Y</w:t>
      </w:r>
      <w:r w:rsidR="000F158B">
        <w:rPr>
          <w:rFonts w:ascii="Arial" w:hAnsi="Arial" w:cs="Arial"/>
          <w:b/>
          <w:bCs/>
          <w:sz w:val="24"/>
          <w:szCs w:val="24"/>
        </w:rPr>
        <w:t>ear</w:t>
      </w:r>
      <w:r w:rsidRPr="002D71D4">
        <w:rPr>
          <w:rFonts w:ascii="Arial" w:hAnsi="Arial" w:cs="Arial"/>
          <w:b/>
          <w:bCs/>
          <w:sz w:val="24"/>
          <w:szCs w:val="24"/>
        </w:rPr>
        <w:t xml:space="preserve"> 2025, which requires plans to specify whether an individual provider serves adult enrollees, pediatric enrollees, or both. Can the </w:t>
      </w:r>
      <w:r w:rsidR="00950A57">
        <w:rPr>
          <w:rFonts w:ascii="Arial" w:hAnsi="Arial" w:cs="Arial"/>
          <w:b/>
          <w:bCs/>
          <w:sz w:val="24"/>
          <w:szCs w:val="24"/>
        </w:rPr>
        <w:t>DMHC</w:t>
      </w:r>
      <w:r w:rsidRPr="002D71D4">
        <w:rPr>
          <w:rFonts w:ascii="Arial" w:hAnsi="Arial" w:cs="Arial"/>
          <w:b/>
          <w:bCs/>
          <w:sz w:val="24"/>
          <w:szCs w:val="24"/>
        </w:rPr>
        <w:t xml:space="preserve"> clarify the cutoffs between the different age groups? Additionally, how does this new field interact with current </w:t>
      </w:r>
      <w:r w:rsidR="00BD2DD0">
        <w:rPr>
          <w:rFonts w:ascii="Arial" w:hAnsi="Arial" w:cs="Arial"/>
          <w:b/>
          <w:bCs/>
          <w:sz w:val="24"/>
          <w:szCs w:val="24"/>
        </w:rPr>
        <w:t>requirements to report</w:t>
      </w:r>
      <w:r w:rsidRPr="002D71D4">
        <w:rPr>
          <w:rFonts w:ascii="Arial" w:hAnsi="Arial" w:cs="Arial"/>
          <w:b/>
          <w:bCs/>
          <w:sz w:val="24"/>
          <w:szCs w:val="24"/>
        </w:rPr>
        <w:t xml:space="preserve"> pediatric physicians</w:t>
      </w:r>
      <w:r w:rsidR="00BD2DD0">
        <w:rPr>
          <w:rFonts w:ascii="Arial" w:hAnsi="Arial" w:cs="Arial"/>
          <w:b/>
          <w:bCs/>
          <w:sz w:val="24"/>
          <w:szCs w:val="24"/>
        </w:rPr>
        <w:t>,</w:t>
      </w:r>
      <w:r w:rsidRPr="002D71D4">
        <w:rPr>
          <w:rFonts w:ascii="Arial" w:hAnsi="Arial" w:cs="Arial"/>
          <w:b/>
          <w:bCs/>
          <w:sz w:val="24"/>
          <w:szCs w:val="24"/>
        </w:rPr>
        <w:t xml:space="preserve"> and </w:t>
      </w:r>
      <w:r w:rsidR="00BD2DD0">
        <w:rPr>
          <w:rFonts w:ascii="Arial" w:hAnsi="Arial" w:cs="Arial"/>
          <w:b/>
          <w:bCs/>
          <w:sz w:val="24"/>
          <w:szCs w:val="24"/>
        </w:rPr>
        <w:t xml:space="preserve">to report </w:t>
      </w:r>
      <w:r w:rsidRPr="002D71D4">
        <w:rPr>
          <w:rFonts w:ascii="Arial" w:hAnsi="Arial" w:cs="Arial"/>
          <w:b/>
          <w:bCs/>
          <w:sz w:val="24"/>
          <w:szCs w:val="24"/>
        </w:rPr>
        <w:t>specialty types for non-physician mental health professionals</w:t>
      </w:r>
      <w:r>
        <w:rPr>
          <w:rFonts w:ascii="Arial" w:hAnsi="Arial" w:cs="Arial"/>
          <w:b/>
          <w:bCs/>
          <w:sz w:val="24"/>
          <w:szCs w:val="24"/>
        </w:rPr>
        <w:t>?</w:t>
      </w:r>
    </w:p>
    <w:p w14:paraId="339220C4" w14:textId="77777777" w:rsidR="00FC0E88" w:rsidRDefault="00950A57" w:rsidP="00950A57">
      <w:pPr>
        <w:spacing w:after="240"/>
        <w:ind w:left="720"/>
        <w:rPr>
          <w:rFonts w:ascii="Arial" w:hAnsi="Arial" w:cs="Arial"/>
          <w:sz w:val="24"/>
          <w:szCs w:val="24"/>
        </w:rPr>
      </w:pPr>
      <w:r>
        <w:rPr>
          <w:rFonts w:ascii="Arial" w:hAnsi="Arial" w:cs="Arial"/>
          <w:sz w:val="24"/>
          <w:szCs w:val="24"/>
        </w:rPr>
        <w:t xml:space="preserve">The </w:t>
      </w:r>
      <w:r w:rsidR="00FC0E88">
        <w:rPr>
          <w:rFonts w:ascii="Arial" w:hAnsi="Arial" w:cs="Arial"/>
          <w:sz w:val="24"/>
          <w:szCs w:val="24"/>
        </w:rPr>
        <w:t xml:space="preserve">field </w:t>
      </w:r>
      <w:r w:rsidRPr="00950A57">
        <w:rPr>
          <w:rFonts w:ascii="Arial" w:hAnsi="Arial" w:cs="Arial"/>
          <w:sz w:val="24"/>
          <w:szCs w:val="24"/>
        </w:rPr>
        <w:t xml:space="preserve">instructions for the </w:t>
      </w:r>
      <w:r>
        <w:rPr>
          <w:rFonts w:ascii="Arial" w:hAnsi="Arial" w:cs="Arial"/>
          <w:sz w:val="24"/>
          <w:szCs w:val="24"/>
        </w:rPr>
        <w:t>“</w:t>
      </w:r>
      <w:r w:rsidRPr="00950A57">
        <w:rPr>
          <w:rFonts w:ascii="Arial" w:hAnsi="Arial" w:cs="Arial"/>
          <w:sz w:val="24"/>
          <w:szCs w:val="24"/>
        </w:rPr>
        <w:t>Population Age Served</w:t>
      </w:r>
      <w:r>
        <w:rPr>
          <w:rFonts w:ascii="Arial" w:hAnsi="Arial" w:cs="Arial"/>
          <w:sz w:val="24"/>
          <w:szCs w:val="24"/>
        </w:rPr>
        <w:t>”</w:t>
      </w:r>
      <w:r w:rsidRPr="00950A57">
        <w:rPr>
          <w:rFonts w:ascii="Arial" w:hAnsi="Arial" w:cs="Arial"/>
          <w:sz w:val="24"/>
          <w:szCs w:val="24"/>
        </w:rPr>
        <w:t xml:space="preserve"> field include instructions concerning the age</w:t>
      </w:r>
      <w:r w:rsidR="00FC0E88">
        <w:rPr>
          <w:rFonts w:ascii="Arial" w:hAnsi="Arial" w:cs="Arial"/>
          <w:sz w:val="24"/>
          <w:szCs w:val="24"/>
        </w:rPr>
        <w:t>s of the patient population pertaining to the population served. Providers that serve enrollees ages 18 and older are reported as serving an adult population, and providers that serve enrollees ages 17 and younger are reported as serving a pediatric population. Providers that serve both age populations are reported as serving both populations.</w:t>
      </w:r>
    </w:p>
    <w:p w14:paraId="07FFC125" w14:textId="77777777" w:rsidR="007A6F6F" w:rsidRPr="007A6F6F" w:rsidRDefault="00950A57" w:rsidP="00950A57">
      <w:pPr>
        <w:spacing w:after="240"/>
        <w:ind w:left="720"/>
        <w:rPr>
          <w:rFonts w:ascii="Arial" w:hAnsi="Arial" w:cs="Arial"/>
          <w:sz w:val="24"/>
          <w:szCs w:val="24"/>
        </w:rPr>
      </w:pPr>
      <w:r w:rsidRPr="00950A57">
        <w:rPr>
          <w:rFonts w:ascii="Arial" w:hAnsi="Arial" w:cs="Arial"/>
          <w:sz w:val="24"/>
          <w:szCs w:val="24"/>
        </w:rPr>
        <w:t xml:space="preserve">Physicians who </w:t>
      </w:r>
      <w:r w:rsidR="00BD2DD0">
        <w:rPr>
          <w:rFonts w:ascii="Arial" w:hAnsi="Arial" w:cs="Arial"/>
          <w:sz w:val="24"/>
          <w:szCs w:val="24"/>
        </w:rPr>
        <w:t xml:space="preserve">meet the requirements for a </w:t>
      </w:r>
      <w:r w:rsidRPr="00950A57">
        <w:rPr>
          <w:rFonts w:ascii="Arial" w:hAnsi="Arial" w:cs="Arial"/>
          <w:sz w:val="24"/>
          <w:szCs w:val="24"/>
        </w:rPr>
        <w:t xml:space="preserve">pediatric specialty </w:t>
      </w:r>
      <w:r w:rsidR="00BD2DD0">
        <w:rPr>
          <w:rFonts w:ascii="Arial" w:hAnsi="Arial" w:cs="Arial"/>
          <w:sz w:val="24"/>
          <w:szCs w:val="24"/>
        </w:rPr>
        <w:t>are</w:t>
      </w:r>
      <w:r w:rsidRPr="00950A57">
        <w:rPr>
          <w:rFonts w:ascii="Arial" w:hAnsi="Arial" w:cs="Arial"/>
          <w:sz w:val="24"/>
          <w:szCs w:val="24"/>
        </w:rPr>
        <w:t xml:space="preserve"> reported according to their pediatric specialty type in the </w:t>
      </w:r>
      <w:r w:rsidR="000F158B">
        <w:rPr>
          <w:rFonts w:ascii="Arial" w:hAnsi="Arial" w:cs="Arial"/>
          <w:sz w:val="24"/>
          <w:szCs w:val="24"/>
        </w:rPr>
        <w:t>“</w:t>
      </w:r>
      <w:r w:rsidRPr="00950A57">
        <w:rPr>
          <w:rFonts w:ascii="Arial" w:hAnsi="Arial" w:cs="Arial"/>
          <w:sz w:val="24"/>
          <w:szCs w:val="24"/>
        </w:rPr>
        <w:t>Specialty</w:t>
      </w:r>
      <w:r w:rsidR="000F158B">
        <w:rPr>
          <w:rFonts w:ascii="Arial" w:hAnsi="Arial" w:cs="Arial"/>
          <w:sz w:val="24"/>
          <w:szCs w:val="24"/>
        </w:rPr>
        <w:t>”</w:t>
      </w:r>
      <w:r w:rsidRPr="00950A57">
        <w:rPr>
          <w:rFonts w:ascii="Arial" w:hAnsi="Arial" w:cs="Arial"/>
          <w:sz w:val="24"/>
          <w:szCs w:val="24"/>
        </w:rPr>
        <w:t xml:space="preserve"> field. Mental health professionals who have an area of expertise in treating children or adolescents should be identified as such in the </w:t>
      </w:r>
      <w:r w:rsidR="000F158B">
        <w:rPr>
          <w:rFonts w:ascii="Arial" w:hAnsi="Arial" w:cs="Arial"/>
          <w:sz w:val="24"/>
          <w:szCs w:val="24"/>
        </w:rPr>
        <w:t>“</w:t>
      </w:r>
      <w:r w:rsidRPr="00950A57">
        <w:rPr>
          <w:rFonts w:ascii="Arial" w:hAnsi="Arial" w:cs="Arial"/>
          <w:sz w:val="24"/>
          <w:szCs w:val="24"/>
        </w:rPr>
        <w:t>Specialty/Area of Expertise</w:t>
      </w:r>
      <w:r w:rsidR="000F158B">
        <w:rPr>
          <w:rFonts w:ascii="Arial" w:hAnsi="Arial" w:cs="Arial"/>
          <w:sz w:val="24"/>
          <w:szCs w:val="24"/>
        </w:rPr>
        <w:t>”</w:t>
      </w:r>
      <w:r w:rsidRPr="00950A57">
        <w:rPr>
          <w:rFonts w:ascii="Arial" w:hAnsi="Arial" w:cs="Arial"/>
          <w:sz w:val="24"/>
          <w:szCs w:val="24"/>
        </w:rPr>
        <w:t xml:space="preserve"> field. Separate from the provider’s </w:t>
      </w:r>
      <w:r w:rsidR="00BD2DD0">
        <w:rPr>
          <w:rFonts w:ascii="Arial" w:hAnsi="Arial" w:cs="Arial"/>
          <w:sz w:val="24"/>
          <w:szCs w:val="24"/>
        </w:rPr>
        <w:t>specialty type or area of expertise</w:t>
      </w:r>
      <w:r w:rsidRPr="00950A57">
        <w:rPr>
          <w:rFonts w:ascii="Arial" w:hAnsi="Arial" w:cs="Arial"/>
          <w:sz w:val="24"/>
          <w:szCs w:val="24"/>
        </w:rPr>
        <w:t xml:space="preserve">, the </w:t>
      </w:r>
      <w:r w:rsidR="000F158B">
        <w:rPr>
          <w:rFonts w:ascii="Arial" w:hAnsi="Arial" w:cs="Arial"/>
          <w:sz w:val="24"/>
          <w:szCs w:val="24"/>
        </w:rPr>
        <w:t>“</w:t>
      </w:r>
      <w:r w:rsidRPr="00950A57">
        <w:rPr>
          <w:rFonts w:ascii="Arial" w:hAnsi="Arial" w:cs="Arial"/>
          <w:sz w:val="24"/>
          <w:szCs w:val="24"/>
        </w:rPr>
        <w:t>Population Age Served</w:t>
      </w:r>
      <w:r w:rsidR="000F158B">
        <w:rPr>
          <w:rFonts w:ascii="Arial" w:hAnsi="Arial" w:cs="Arial"/>
          <w:sz w:val="24"/>
          <w:szCs w:val="24"/>
        </w:rPr>
        <w:t>”</w:t>
      </w:r>
      <w:r w:rsidRPr="00950A57">
        <w:rPr>
          <w:rFonts w:ascii="Arial" w:hAnsi="Arial" w:cs="Arial"/>
          <w:sz w:val="24"/>
          <w:szCs w:val="24"/>
        </w:rPr>
        <w:t xml:space="preserve"> field will capture which providers limit their practice to treating only adults, or only pediatric</w:t>
      </w:r>
      <w:r>
        <w:rPr>
          <w:rFonts w:ascii="Arial" w:hAnsi="Arial" w:cs="Arial"/>
          <w:sz w:val="24"/>
          <w:szCs w:val="24"/>
        </w:rPr>
        <w:t xml:space="preserve"> patients</w:t>
      </w:r>
      <w:r w:rsidR="00BD2DD0">
        <w:rPr>
          <w:rFonts w:ascii="Arial" w:hAnsi="Arial" w:cs="Arial"/>
          <w:sz w:val="24"/>
          <w:szCs w:val="24"/>
        </w:rPr>
        <w:t>, and which providers treat both</w:t>
      </w:r>
      <w:r>
        <w:rPr>
          <w:rFonts w:ascii="Arial" w:hAnsi="Arial" w:cs="Arial"/>
          <w:sz w:val="24"/>
          <w:szCs w:val="24"/>
        </w:rPr>
        <w:t>.</w:t>
      </w:r>
    </w:p>
    <w:p w14:paraId="79A155EB" w14:textId="77777777" w:rsidR="007A6F6F" w:rsidRPr="007A6F6F" w:rsidRDefault="007A6F6F" w:rsidP="001C1555">
      <w:pPr>
        <w:numPr>
          <w:ilvl w:val="0"/>
          <w:numId w:val="26"/>
        </w:numPr>
        <w:spacing w:after="240"/>
        <w:rPr>
          <w:rFonts w:ascii="Arial" w:hAnsi="Arial" w:cs="Arial"/>
          <w:sz w:val="24"/>
          <w:szCs w:val="24"/>
        </w:rPr>
      </w:pPr>
      <w:r w:rsidRPr="002D71D4">
        <w:rPr>
          <w:rFonts w:ascii="Arial" w:hAnsi="Arial" w:cs="Arial"/>
          <w:b/>
          <w:bCs/>
          <w:sz w:val="24"/>
          <w:szCs w:val="24"/>
        </w:rPr>
        <w:t xml:space="preserve">Why </w:t>
      </w:r>
      <w:r w:rsidR="00576AF8">
        <w:rPr>
          <w:rFonts w:ascii="Arial" w:hAnsi="Arial" w:cs="Arial"/>
          <w:b/>
          <w:bCs/>
          <w:sz w:val="24"/>
          <w:szCs w:val="24"/>
        </w:rPr>
        <w:t>did</w:t>
      </w:r>
      <w:r w:rsidRPr="002D71D4">
        <w:rPr>
          <w:rFonts w:ascii="Arial" w:hAnsi="Arial" w:cs="Arial"/>
          <w:b/>
          <w:bCs/>
          <w:sz w:val="24"/>
          <w:szCs w:val="24"/>
        </w:rPr>
        <w:t xml:space="preserve"> the </w:t>
      </w:r>
      <w:r w:rsidR="000F158B">
        <w:rPr>
          <w:rFonts w:ascii="Arial" w:hAnsi="Arial" w:cs="Arial"/>
          <w:b/>
          <w:bCs/>
          <w:sz w:val="24"/>
          <w:szCs w:val="24"/>
        </w:rPr>
        <w:t>DMHC</w:t>
      </w:r>
      <w:r w:rsidRPr="002D71D4">
        <w:rPr>
          <w:rFonts w:ascii="Arial" w:hAnsi="Arial" w:cs="Arial"/>
          <w:b/>
          <w:bCs/>
          <w:sz w:val="24"/>
          <w:szCs w:val="24"/>
        </w:rPr>
        <w:t xml:space="preserve"> add </w:t>
      </w:r>
      <w:r w:rsidR="00576AF8">
        <w:rPr>
          <w:rFonts w:ascii="Arial" w:hAnsi="Arial" w:cs="Arial"/>
          <w:b/>
          <w:bCs/>
          <w:sz w:val="24"/>
          <w:szCs w:val="24"/>
        </w:rPr>
        <w:t>the “</w:t>
      </w:r>
      <w:r w:rsidRPr="002D71D4">
        <w:rPr>
          <w:rFonts w:ascii="Arial" w:hAnsi="Arial" w:cs="Arial"/>
          <w:b/>
          <w:bCs/>
          <w:sz w:val="24"/>
          <w:szCs w:val="24"/>
        </w:rPr>
        <w:t>HCAI ID</w:t>
      </w:r>
      <w:r w:rsidR="00576AF8">
        <w:rPr>
          <w:rFonts w:ascii="Arial" w:hAnsi="Arial" w:cs="Arial"/>
          <w:b/>
          <w:bCs/>
          <w:sz w:val="24"/>
          <w:szCs w:val="24"/>
        </w:rPr>
        <w:t>” field</w:t>
      </w:r>
      <w:r w:rsidRPr="002D71D4">
        <w:rPr>
          <w:rFonts w:ascii="Arial" w:hAnsi="Arial" w:cs="Arial"/>
          <w:b/>
          <w:bCs/>
          <w:sz w:val="24"/>
          <w:szCs w:val="24"/>
        </w:rPr>
        <w:t xml:space="preserve"> to the Hospital Report Tab</w:t>
      </w:r>
      <w:r w:rsidR="00576AF8">
        <w:rPr>
          <w:rFonts w:ascii="Arial" w:hAnsi="Arial" w:cs="Arial"/>
          <w:b/>
          <w:bCs/>
          <w:sz w:val="24"/>
          <w:szCs w:val="24"/>
        </w:rPr>
        <w:t xml:space="preserve"> of the Hospital and Clinic Report Form (Form No. 40-270)</w:t>
      </w:r>
      <w:r>
        <w:rPr>
          <w:rFonts w:ascii="Arial" w:hAnsi="Arial" w:cs="Arial"/>
          <w:b/>
          <w:bCs/>
          <w:sz w:val="24"/>
          <w:szCs w:val="24"/>
        </w:rPr>
        <w:t>?</w:t>
      </w:r>
    </w:p>
    <w:p w14:paraId="3D6A2264" w14:textId="77777777" w:rsidR="00FC0E88" w:rsidRPr="00D80720" w:rsidRDefault="00FC0E88" w:rsidP="00D80720">
      <w:pPr>
        <w:pStyle w:val="ListParagraph"/>
        <w:spacing w:after="120" w:line="240" w:lineRule="auto"/>
        <w:contextualSpacing w:val="0"/>
        <w:rPr>
          <w:rFonts w:ascii="Arial" w:hAnsi="Arial" w:cs="Arial"/>
          <w:sz w:val="24"/>
          <w:szCs w:val="24"/>
        </w:rPr>
      </w:pPr>
      <w:r w:rsidRPr="00D80720">
        <w:rPr>
          <w:rFonts w:ascii="Arial" w:hAnsi="Arial" w:cs="Arial"/>
          <w:sz w:val="24"/>
          <w:szCs w:val="24"/>
        </w:rPr>
        <w:t xml:space="preserve">The field for “HCAI ID” within the Hospital </w:t>
      </w:r>
      <w:r>
        <w:rPr>
          <w:rFonts w:ascii="Arial" w:hAnsi="Arial" w:cs="Arial"/>
          <w:sz w:val="24"/>
          <w:szCs w:val="24"/>
        </w:rPr>
        <w:t xml:space="preserve">Report </w:t>
      </w:r>
      <w:r w:rsidR="00ED1DC8">
        <w:rPr>
          <w:rFonts w:ascii="Arial" w:hAnsi="Arial" w:cs="Arial"/>
          <w:sz w:val="24"/>
          <w:szCs w:val="24"/>
        </w:rPr>
        <w:t>T</w:t>
      </w:r>
      <w:r w:rsidRPr="00D80720">
        <w:rPr>
          <w:rFonts w:ascii="Arial" w:hAnsi="Arial" w:cs="Arial"/>
          <w:sz w:val="24"/>
          <w:szCs w:val="24"/>
        </w:rPr>
        <w:t>ab</w:t>
      </w:r>
      <w:r>
        <w:rPr>
          <w:rFonts w:ascii="Arial" w:hAnsi="Arial" w:cs="Arial"/>
          <w:sz w:val="24"/>
          <w:szCs w:val="24"/>
        </w:rPr>
        <w:t xml:space="preserve"> </w:t>
      </w:r>
      <w:r w:rsidRPr="00D80720">
        <w:rPr>
          <w:rFonts w:ascii="Arial" w:hAnsi="Arial" w:cs="Arial"/>
          <w:sz w:val="24"/>
          <w:szCs w:val="24"/>
        </w:rPr>
        <w:t>captures t</w:t>
      </w:r>
      <w:r w:rsidRPr="00D80720">
        <w:rPr>
          <w:rFonts w:ascii="Arial" w:eastAsia="Arial" w:hAnsi="Arial" w:cs="Arial"/>
          <w:sz w:val="24"/>
          <w:szCs w:val="24"/>
        </w:rPr>
        <w:t>he unique identifier established by the California Department of Health Care Access and Information (HCAI) identifying facilities used in the Licensed Facility Information System (LFIS).</w:t>
      </w:r>
    </w:p>
    <w:p w14:paraId="2BB62049" w14:textId="77777777" w:rsidR="007A6F6F" w:rsidRPr="007A6F6F" w:rsidRDefault="007A6F6F" w:rsidP="000F158B">
      <w:pPr>
        <w:spacing w:after="240"/>
        <w:ind w:left="720"/>
        <w:rPr>
          <w:rFonts w:ascii="Arial" w:hAnsi="Arial" w:cs="Arial"/>
          <w:sz w:val="24"/>
          <w:szCs w:val="24"/>
        </w:rPr>
      </w:pPr>
      <w:r>
        <w:rPr>
          <w:rFonts w:ascii="Arial" w:hAnsi="Arial" w:cs="Arial"/>
          <w:sz w:val="24"/>
          <w:szCs w:val="24"/>
        </w:rPr>
        <w:t xml:space="preserve">The </w:t>
      </w:r>
      <w:r w:rsidR="00576AF8">
        <w:rPr>
          <w:rFonts w:ascii="Arial" w:hAnsi="Arial" w:cs="Arial"/>
          <w:sz w:val="24"/>
          <w:szCs w:val="24"/>
        </w:rPr>
        <w:t>DMHC</w:t>
      </w:r>
      <w:r>
        <w:rPr>
          <w:rFonts w:ascii="Arial" w:hAnsi="Arial" w:cs="Arial"/>
          <w:sz w:val="24"/>
          <w:szCs w:val="24"/>
        </w:rPr>
        <w:t xml:space="preserve"> is collecting this </w:t>
      </w:r>
      <w:r w:rsidR="00FC0E88">
        <w:rPr>
          <w:rFonts w:ascii="Arial" w:hAnsi="Arial" w:cs="Arial"/>
          <w:sz w:val="24"/>
          <w:szCs w:val="24"/>
        </w:rPr>
        <w:t>data</w:t>
      </w:r>
      <w:r>
        <w:rPr>
          <w:rFonts w:ascii="Arial" w:hAnsi="Arial" w:cs="Arial"/>
          <w:sz w:val="24"/>
          <w:szCs w:val="24"/>
        </w:rPr>
        <w:t xml:space="preserve"> </w:t>
      </w:r>
      <w:r w:rsidR="000A4ACF">
        <w:rPr>
          <w:rFonts w:ascii="Arial" w:hAnsi="Arial" w:cs="Arial"/>
          <w:sz w:val="24"/>
          <w:szCs w:val="24"/>
        </w:rPr>
        <w:t>to</w:t>
      </w:r>
      <w:r>
        <w:rPr>
          <w:rFonts w:ascii="Arial" w:hAnsi="Arial" w:cs="Arial"/>
          <w:sz w:val="24"/>
          <w:szCs w:val="24"/>
        </w:rPr>
        <w:t xml:space="preserve"> evaluate </w:t>
      </w:r>
      <w:r w:rsidR="00576AF8">
        <w:rPr>
          <w:rFonts w:ascii="Arial" w:hAnsi="Arial" w:cs="Arial"/>
          <w:sz w:val="24"/>
          <w:szCs w:val="24"/>
        </w:rPr>
        <w:t xml:space="preserve">enrollee </w:t>
      </w:r>
      <w:r>
        <w:rPr>
          <w:rFonts w:ascii="Arial" w:hAnsi="Arial" w:cs="Arial"/>
          <w:sz w:val="24"/>
          <w:szCs w:val="24"/>
        </w:rPr>
        <w:t xml:space="preserve">access to </w:t>
      </w:r>
      <w:r w:rsidR="00576AF8">
        <w:rPr>
          <w:rFonts w:ascii="Arial" w:hAnsi="Arial" w:cs="Arial"/>
          <w:sz w:val="24"/>
          <w:szCs w:val="24"/>
        </w:rPr>
        <w:t>various</w:t>
      </w:r>
      <w:r>
        <w:rPr>
          <w:rFonts w:ascii="Arial" w:hAnsi="Arial" w:cs="Arial"/>
          <w:sz w:val="24"/>
          <w:szCs w:val="24"/>
        </w:rPr>
        <w:t xml:space="preserve"> </w:t>
      </w:r>
      <w:r w:rsidR="00576AF8">
        <w:rPr>
          <w:rFonts w:ascii="Arial" w:hAnsi="Arial" w:cs="Arial"/>
          <w:sz w:val="24"/>
          <w:szCs w:val="24"/>
        </w:rPr>
        <w:t>h</w:t>
      </w:r>
      <w:r>
        <w:rPr>
          <w:rFonts w:ascii="Arial" w:hAnsi="Arial" w:cs="Arial"/>
          <w:sz w:val="24"/>
          <w:szCs w:val="24"/>
        </w:rPr>
        <w:t xml:space="preserve">ospital </w:t>
      </w:r>
      <w:r w:rsidR="00576AF8">
        <w:rPr>
          <w:rFonts w:ascii="Arial" w:hAnsi="Arial" w:cs="Arial"/>
          <w:sz w:val="24"/>
          <w:szCs w:val="24"/>
        </w:rPr>
        <w:t>s</w:t>
      </w:r>
      <w:r>
        <w:rPr>
          <w:rFonts w:ascii="Arial" w:hAnsi="Arial" w:cs="Arial"/>
          <w:sz w:val="24"/>
          <w:szCs w:val="24"/>
        </w:rPr>
        <w:t>ervices</w:t>
      </w:r>
      <w:r w:rsidR="00C54E9F">
        <w:rPr>
          <w:rFonts w:ascii="Arial" w:hAnsi="Arial" w:cs="Arial"/>
          <w:sz w:val="24"/>
          <w:szCs w:val="24"/>
        </w:rPr>
        <w:t xml:space="preserve"> in health plan networks</w:t>
      </w:r>
      <w:r w:rsidR="00FC0E88">
        <w:rPr>
          <w:rFonts w:ascii="Arial" w:hAnsi="Arial" w:cs="Arial"/>
          <w:sz w:val="24"/>
          <w:szCs w:val="24"/>
        </w:rPr>
        <w:t>,</w:t>
      </w:r>
      <w:r w:rsidR="00576AF8">
        <w:rPr>
          <w:rFonts w:ascii="Arial" w:hAnsi="Arial" w:cs="Arial"/>
          <w:sz w:val="24"/>
          <w:szCs w:val="24"/>
        </w:rPr>
        <w:t xml:space="preserve"> </w:t>
      </w:r>
      <w:r w:rsidR="00C54E9F">
        <w:rPr>
          <w:rFonts w:ascii="Arial" w:hAnsi="Arial" w:cs="Arial"/>
          <w:sz w:val="24"/>
          <w:szCs w:val="24"/>
        </w:rPr>
        <w:t xml:space="preserve">including emergency room services, specialized services, and </w:t>
      </w:r>
      <w:r w:rsidR="00576AF8">
        <w:rPr>
          <w:rFonts w:ascii="Arial" w:hAnsi="Arial" w:cs="Arial"/>
          <w:sz w:val="24"/>
          <w:szCs w:val="24"/>
        </w:rPr>
        <w:t xml:space="preserve">the services included in the </w:t>
      </w:r>
      <w:r w:rsidR="000A4ACF">
        <w:rPr>
          <w:rFonts w:ascii="Arial" w:hAnsi="Arial" w:cs="Arial"/>
          <w:sz w:val="24"/>
          <w:szCs w:val="24"/>
        </w:rPr>
        <w:t xml:space="preserve">new </w:t>
      </w:r>
      <w:r w:rsidR="00576AF8">
        <w:rPr>
          <w:rFonts w:ascii="Arial" w:hAnsi="Arial" w:cs="Arial"/>
          <w:sz w:val="24"/>
          <w:szCs w:val="24"/>
        </w:rPr>
        <w:t xml:space="preserve">definition of “particularized hospital services” in the </w:t>
      </w:r>
      <w:r w:rsidR="00576AF8" w:rsidRPr="002B59E2">
        <w:rPr>
          <w:rFonts w:ascii="Arial" w:hAnsi="Arial" w:cs="Arial"/>
          <w:sz w:val="24"/>
          <w:szCs w:val="24"/>
        </w:rPr>
        <w:t>Annual Network Submission</w:t>
      </w:r>
      <w:r w:rsidR="00ED1DC8">
        <w:rPr>
          <w:rFonts w:ascii="Arial" w:hAnsi="Arial" w:cs="Arial"/>
          <w:sz w:val="24"/>
          <w:szCs w:val="24"/>
        </w:rPr>
        <w:t xml:space="preserve"> Instruction</w:t>
      </w:r>
      <w:r w:rsidR="00576AF8" w:rsidRPr="002B59E2">
        <w:rPr>
          <w:rFonts w:ascii="Arial" w:hAnsi="Arial" w:cs="Arial"/>
          <w:sz w:val="24"/>
          <w:szCs w:val="24"/>
        </w:rPr>
        <w:t xml:space="preserve"> Manual for Reporting Year 2025</w:t>
      </w:r>
      <w:r w:rsidR="00576AF8">
        <w:rPr>
          <w:rFonts w:ascii="Arial" w:hAnsi="Arial" w:cs="Arial"/>
          <w:sz w:val="24"/>
          <w:szCs w:val="24"/>
        </w:rPr>
        <w:t>.</w:t>
      </w:r>
    </w:p>
    <w:p w14:paraId="05014EB7" w14:textId="77777777" w:rsidR="007A6F6F" w:rsidRPr="007A6F6F" w:rsidRDefault="007A6F6F" w:rsidP="001C1555">
      <w:pPr>
        <w:numPr>
          <w:ilvl w:val="0"/>
          <w:numId w:val="26"/>
        </w:numPr>
        <w:spacing w:after="240"/>
        <w:rPr>
          <w:rFonts w:ascii="Arial" w:hAnsi="Arial" w:cs="Arial"/>
          <w:sz w:val="24"/>
          <w:szCs w:val="24"/>
        </w:rPr>
      </w:pPr>
      <w:r w:rsidRPr="002D71D4">
        <w:rPr>
          <w:rFonts w:ascii="Arial" w:hAnsi="Arial" w:cs="Arial"/>
          <w:b/>
          <w:bCs/>
          <w:sz w:val="24"/>
          <w:szCs w:val="24"/>
        </w:rPr>
        <w:t>Will the D</w:t>
      </w:r>
      <w:r w:rsidR="000F158B">
        <w:rPr>
          <w:rFonts w:ascii="Arial" w:hAnsi="Arial" w:cs="Arial"/>
          <w:b/>
          <w:bCs/>
          <w:sz w:val="24"/>
          <w:szCs w:val="24"/>
        </w:rPr>
        <w:t>MHC</w:t>
      </w:r>
      <w:r w:rsidRPr="002D71D4">
        <w:rPr>
          <w:rFonts w:ascii="Arial" w:hAnsi="Arial" w:cs="Arial"/>
          <w:b/>
          <w:bCs/>
          <w:sz w:val="24"/>
          <w:szCs w:val="24"/>
        </w:rPr>
        <w:t xml:space="preserve"> provide plans with a list of HCAI</w:t>
      </w:r>
      <w:r w:rsidR="000F158B">
        <w:rPr>
          <w:rFonts w:ascii="Arial" w:hAnsi="Arial" w:cs="Arial"/>
          <w:b/>
          <w:bCs/>
          <w:sz w:val="24"/>
          <w:szCs w:val="24"/>
        </w:rPr>
        <w:t>’</w:t>
      </w:r>
      <w:r w:rsidRPr="002D71D4">
        <w:rPr>
          <w:rFonts w:ascii="Arial" w:hAnsi="Arial" w:cs="Arial"/>
          <w:b/>
          <w:bCs/>
          <w:sz w:val="24"/>
          <w:szCs w:val="24"/>
        </w:rPr>
        <w:t>s licensed facilities so that plans will be able to find each hospital</w:t>
      </w:r>
      <w:r w:rsidR="000F158B">
        <w:rPr>
          <w:rFonts w:ascii="Arial" w:hAnsi="Arial" w:cs="Arial"/>
          <w:b/>
          <w:bCs/>
          <w:sz w:val="24"/>
          <w:szCs w:val="24"/>
        </w:rPr>
        <w:t>’</w:t>
      </w:r>
      <w:r w:rsidRPr="002D71D4">
        <w:rPr>
          <w:rFonts w:ascii="Arial" w:hAnsi="Arial" w:cs="Arial"/>
          <w:b/>
          <w:bCs/>
          <w:sz w:val="24"/>
          <w:szCs w:val="24"/>
        </w:rPr>
        <w:t>s unique HCAI identifier</w:t>
      </w:r>
      <w:r>
        <w:rPr>
          <w:rFonts w:ascii="Arial" w:hAnsi="Arial" w:cs="Arial"/>
          <w:b/>
          <w:bCs/>
          <w:sz w:val="24"/>
          <w:szCs w:val="24"/>
        </w:rPr>
        <w:t>?</w:t>
      </w:r>
    </w:p>
    <w:p w14:paraId="1E356CD1" w14:textId="0F5B1C24" w:rsidR="00A7330C" w:rsidRDefault="000F158B" w:rsidP="00A7330C">
      <w:pPr>
        <w:tabs>
          <w:tab w:val="left" w:pos="2156"/>
        </w:tabs>
        <w:spacing w:after="240"/>
        <w:ind w:left="720"/>
        <w:rPr>
          <w:rFonts w:ascii="Arial" w:hAnsi="Arial" w:cs="Arial"/>
          <w:sz w:val="24"/>
          <w:szCs w:val="24"/>
        </w:rPr>
      </w:pPr>
      <w:r>
        <w:rPr>
          <w:rFonts w:ascii="Arial" w:hAnsi="Arial" w:cs="Arial"/>
          <w:sz w:val="24"/>
          <w:szCs w:val="24"/>
        </w:rPr>
        <w:t>The DMHC will be releasing technical guidance to health plans for the Reporting Year 2025 Report Forms, which will include technical instructions for the “HCAI ID” field. The DMHC will provide the URL for HCAI’s Licensed Facility Information System</w:t>
      </w:r>
      <w:r w:rsidR="00BD6872">
        <w:rPr>
          <w:rFonts w:ascii="Arial" w:hAnsi="Arial" w:cs="Arial"/>
          <w:sz w:val="24"/>
          <w:szCs w:val="24"/>
        </w:rPr>
        <w:t xml:space="preserve"> (LFIS)</w:t>
      </w:r>
      <w:r>
        <w:rPr>
          <w:rFonts w:ascii="Arial" w:hAnsi="Arial" w:cs="Arial"/>
          <w:sz w:val="24"/>
          <w:szCs w:val="24"/>
        </w:rPr>
        <w:t>, which plans can use to look up the HCAI identifier for each hospital in the plan’s network</w:t>
      </w:r>
      <w:r w:rsidR="00BD6872">
        <w:rPr>
          <w:rFonts w:ascii="Arial" w:hAnsi="Arial" w:cs="Arial"/>
          <w:sz w:val="24"/>
          <w:szCs w:val="24"/>
        </w:rPr>
        <w:t xml:space="preserve">. </w:t>
      </w:r>
      <w:r w:rsidR="00EE24E8">
        <w:rPr>
          <w:rFonts w:ascii="Arial" w:hAnsi="Arial" w:cs="Arial"/>
          <w:sz w:val="24"/>
          <w:szCs w:val="24"/>
        </w:rPr>
        <w:br/>
      </w:r>
      <w:r w:rsidR="00BD6872">
        <w:rPr>
          <w:rFonts w:ascii="Arial" w:hAnsi="Arial" w:cs="Arial"/>
          <w:sz w:val="24"/>
          <w:szCs w:val="24"/>
        </w:rPr>
        <w:lastRenderedPageBreak/>
        <w:t xml:space="preserve">The LFIS is accessible from the following URL: </w:t>
      </w:r>
      <w:r w:rsidR="00BD6872" w:rsidRPr="00A21D98">
        <w:rPr>
          <w:rFonts w:ascii="Arial" w:hAnsi="Arial" w:cs="Arial"/>
          <w:sz w:val="24"/>
          <w:szCs w:val="24"/>
        </w:rPr>
        <w:t>https://lfis.hcai.ca.gov/</w:t>
      </w:r>
      <w:r>
        <w:rPr>
          <w:rFonts w:ascii="Arial" w:hAnsi="Arial" w:cs="Arial"/>
          <w:sz w:val="24"/>
          <w:szCs w:val="24"/>
        </w:rPr>
        <w:t>. Since the LFIS</w:t>
      </w:r>
      <w:r w:rsidR="00BF60BB">
        <w:rPr>
          <w:rFonts w:ascii="Arial" w:hAnsi="Arial" w:cs="Arial"/>
          <w:sz w:val="24"/>
          <w:szCs w:val="24"/>
        </w:rPr>
        <w:t xml:space="preserve"> </w:t>
      </w:r>
      <w:r>
        <w:rPr>
          <w:rFonts w:ascii="Arial" w:hAnsi="Arial" w:cs="Arial"/>
          <w:sz w:val="24"/>
          <w:szCs w:val="24"/>
        </w:rPr>
        <w:t>is available for public use, the DMHC will not provide plans with a list of HCAI’s licensed facilities.</w:t>
      </w:r>
    </w:p>
    <w:p w14:paraId="029C5975" w14:textId="77777777" w:rsidR="007A6F6F" w:rsidRPr="007A6F6F" w:rsidRDefault="007A6F6F" w:rsidP="001C1555">
      <w:pPr>
        <w:pStyle w:val="InsideAddressName"/>
        <w:numPr>
          <w:ilvl w:val="0"/>
          <w:numId w:val="26"/>
        </w:numPr>
        <w:spacing w:before="0" w:after="240"/>
        <w:rPr>
          <w:rFonts w:cs="Arial"/>
          <w:sz w:val="24"/>
          <w:szCs w:val="24"/>
        </w:rPr>
      </w:pPr>
      <w:r w:rsidRPr="002D71D4">
        <w:rPr>
          <w:rFonts w:cs="Arial"/>
          <w:b/>
          <w:bCs/>
          <w:sz w:val="24"/>
          <w:szCs w:val="24"/>
        </w:rPr>
        <w:t xml:space="preserve">The </w:t>
      </w:r>
      <w:r w:rsidR="000C6C42">
        <w:rPr>
          <w:rFonts w:cs="Arial"/>
          <w:b/>
          <w:bCs/>
          <w:sz w:val="24"/>
          <w:szCs w:val="24"/>
        </w:rPr>
        <w:t>DMHC</w:t>
      </w:r>
      <w:r w:rsidRPr="002D71D4">
        <w:rPr>
          <w:rFonts w:cs="Arial"/>
          <w:b/>
          <w:bCs/>
          <w:sz w:val="24"/>
          <w:szCs w:val="24"/>
        </w:rPr>
        <w:t xml:space="preserve"> added the term </w:t>
      </w:r>
      <w:r w:rsidR="005250A0">
        <w:rPr>
          <w:rFonts w:cs="Arial"/>
          <w:b/>
          <w:bCs/>
          <w:sz w:val="24"/>
          <w:szCs w:val="24"/>
        </w:rPr>
        <w:t>“m</w:t>
      </w:r>
      <w:r w:rsidRPr="002D71D4">
        <w:rPr>
          <w:rFonts w:cs="Arial"/>
          <w:b/>
          <w:bCs/>
          <w:sz w:val="24"/>
          <w:szCs w:val="24"/>
        </w:rPr>
        <w:t xml:space="preserve">ental </w:t>
      </w:r>
      <w:r w:rsidR="005250A0">
        <w:rPr>
          <w:rFonts w:cs="Arial"/>
          <w:b/>
          <w:bCs/>
          <w:sz w:val="24"/>
          <w:szCs w:val="24"/>
        </w:rPr>
        <w:t>h</w:t>
      </w:r>
      <w:r w:rsidRPr="002D71D4">
        <w:rPr>
          <w:rFonts w:cs="Arial"/>
          <w:b/>
          <w:bCs/>
          <w:sz w:val="24"/>
          <w:szCs w:val="24"/>
        </w:rPr>
        <w:t xml:space="preserve">ealth </w:t>
      </w:r>
      <w:r w:rsidR="005250A0">
        <w:rPr>
          <w:rFonts w:cs="Arial"/>
          <w:b/>
          <w:bCs/>
          <w:sz w:val="24"/>
          <w:szCs w:val="24"/>
        </w:rPr>
        <w:t>r</w:t>
      </w:r>
      <w:r w:rsidRPr="002D71D4">
        <w:rPr>
          <w:rFonts w:cs="Arial"/>
          <w:b/>
          <w:bCs/>
          <w:sz w:val="24"/>
          <w:szCs w:val="24"/>
        </w:rPr>
        <w:t xml:space="preserve">ehabilitation </w:t>
      </w:r>
      <w:r w:rsidR="005250A0">
        <w:rPr>
          <w:rFonts w:cs="Arial"/>
          <w:b/>
          <w:bCs/>
          <w:sz w:val="24"/>
          <w:szCs w:val="24"/>
        </w:rPr>
        <w:t>c</w:t>
      </w:r>
      <w:r w:rsidRPr="002D71D4">
        <w:rPr>
          <w:rFonts w:cs="Arial"/>
          <w:b/>
          <w:bCs/>
          <w:sz w:val="24"/>
          <w:szCs w:val="24"/>
        </w:rPr>
        <w:t>enter</w:t>
      </w:r>
      <w:r w:rsidR="005250A0">
        <w:rPr>
          <w:rFonts w:cs="Arial"/>
          <w:b/>
          <w:bCs/>
          <w:sz w:val="24"/>
          <w:szCs w:val="24"/>
        </w:rPr>
        <w:t>”</w:t>
      </w:r>
      <w:r w:rsidRPr="002D71D4">
        <w:rPr>
          <w:rFonts w:cs="Arial"/>
          <w:b/>
          <w:bCs/>
          <w:sz w:val="24"/>
          <w:szCs w:val="24"/>
        </w:rPr>
        <w:t xml:space="preserve"> to its standardized terminology for the reporting of mental health facilities. Could the </w:t>
      </w:r>
      <w:r w:rsidR="000C6C42">
        <w:rPr>
          <w:rFonts w:cs="Arial"/>
          <w:b/>
          <w:bCs/>
          <w:sz w:val="24"/>
          <w:szCs w:val="24"/>
        </w:rPr>
        <w:t>DMHC</w:t>
      </w:r>
      <w:r w:rsidRPr="002D71D4">
        <w:rPr>
          <w:rFonts w:cs="Arial"/>
          <w:b/>
          <w:bCs/>
          <w:sz w:val="24"/>
          <w:szCs w:val="24"/>
        </w:rPr>
        <w:t xml:space="preserve"> please define </w:t>
      </w:r>
      <w:r w:rsidR="005250A0">
        <w:rPr>
          <w:rFonts w:cs="Arial"/>
          <w:b/>
          <w:bCs/>
          <w:sz w:val="24"/>
          <w:szCs w:val="24"/>
        </w:rPr>
        <w:t>m</w:t>
      </w:r>
      <w:r w:rsidRPr="002D71D4">
        <w:rPr>
          <w:rFonts w:cs="Arial"/>
          <w:b/>
          <w:bCs/>
          <w:sz w:val="24"/>
          <w:szCs w:val="24"/>
        </w:rPr>
        <w:t xml:space="preserve">ental </w:t>
      </w:r>
      <w:r w:rsidR="005250A0">
        <w:rPr>
          <w:rFonts w:cs="Arial"/>
          <w:b/>
          <w:bCs/>
          <w:sz w:val="24"/>
          <w:szCs w:val="24"/>
        </w:rPr>
        <w:t>h</w:t>
      </w:r>
      <w:r w:rsidRPr="002D71D4">
        <w:rPr>
          <w:rFonts w:cs="Arial"/>
          <w:b/>
          <w:bCs/>
          <w:sz w:val="24"/>
          <w:szCs w:val="24"/>
        </w:rPr>
        <w:t xml:space="preserve">ealth </w:t>
      </w:r>
      <w:r w:rsidR="005250A0">
        <w:rPr>
          <w:rFonts w:cs="Arial"/>
          <w:b/>
          <w:bCs/>
          <w:sz w:val="24"/>
          <w:szCs w:val="24"/>
        </w:rPr>
        <w:t>r</w:t>
      </w:r>
      <w:r w:rsidRPr="002D71D4">
        <w:rPr>
          <w:rFonts w:cs="Arial"/>
          <w:b/>
          <w:bCs/>
          <w:sz w:val="24"/>
          <w:szCs w:val="24"/>
        </w:rPr>
        <w:t xml:space="preserve">ehabilitation </w:t>
      </w:r>
      <w:r w:rsidR="005250A0">
        <w:rPr>
          <w:rFonts w:cs="Arial"/>
          <w:b/>
          <w:bCs/>
          <w:sz w:val="24"/>
          <w:szCs w:val="24"/>
        </w:rPr>
        <w:t>c</w:t>
      </w:r>
      <w:r w:rsidRPr="002D71D4">
        <w:rPr>
          <w:rFonts w:cs="Arial"/>
          <w:b/>
          <w:bCs/>
          <w:sz w:val="24"/>
          <w:szCs w:val="24"/>
        </w:rPr>
        <w:t>enter</w:t>
      </w:r>
      <w:r>
        <w:rPr>
          <w:rFonts w:cs="Arial"/>
          <w:b/>
          <w:bCs/>
          <w:sz w:val="24"/>
          <w:szCs w:val="24"/>
        </w:rPr>
        <w:t>?</w:t>
      </w:r>
    </w:p>
    <w:p w14:paraId="43209494" w14:textId="77777777" w:rsidR="007A6F6F" w:rsidRPr="007A6F6F" w:rsidRDefault="000F158B" w:rsidP="000F158B">
      <w:pPr>
        <w:spacing w:after="240"/>
        <w:ind w:left="720"/>
        <w:rPr>
          <w:rFonts w:ascii="Arial" w:hAnsi="Arial" w:cs="Arial"/>
          <w:sz w:val="24"/>
          <w:szCs w:val="24"/>
        </w:rPr>
      </w:pPr>
      <w:r>
        <w:rPr>
          <w:rFonts w:ascii="Arial" w:hAnsi="Arial" w:cs="Arial"/>
          <w:sz w:val="24"/>
          <w:szCs w:val="24"/>
        </w:rPr>
        <w:t xml:space="preserve">A mental health rehabilitation center (MHRC) is a facility licensed by the Department of Health Care Services (DHCS). DHCS defines an MHRC as “a 24-hour program which provides intensive support and rehabilitative services designed to assist persons, 18 years or older, with mental disorders who would have been placed in a state hospital or another mental health facility to develop skills to become self-sufficient and capable of increasing levels of independence and functioning.” For more information, consult </w:t>
      </w:r>
      <w:r w:rsidR="00BF60BB">
        <w:rPr>
          <w:rFonts w:ascii="Arial" w:hAnsi="Arial" w:cs="Arial"/>
          <w:sz w:val="24"/>
          <w:szCs w:val="24"/>
        </w:rPr>
        <w:t xml:space="preserve">the </w:t>
      </w:r>
      <w:r>
        <w:rPr>
          <w:rFonts w:ascii="Arial" w:hAnsi="Arial" w:cs="Arial"/>
          <w:sz w:val="24"/>
          <w:szCs w:val="24"/>
        </w:rPr>
        <w:t xml:space="preserve">DHCS website at </w:t>
      </w:r>
      <w:r w:rsidRPr="000F158B">
        <w:rPr>
          <w:rFonts w:ascii="Arial" w:hAnsi="Arial" w:cs="Arial"/>
          <w:sz w:val="24"/>
          <w:szCs w:val="24"/>
        </w:rPr>
        <w:t>https://www.dhcs.ca.gov/mental-health-rehabilitation-centers</w:t>
      </w:r>
      <w:r>
        <w:rPr>
          <w:rFonts w:ascii="Arial" w:hAnsi="Arial" w:cs="Arial"/>
          <w:sz w:val="24"/>
          <w:szCs w:val="24"/>
        </w:rPr>
        <w:t>.</w:t>
      </w:r>
    </w:p>
    <w:p w14:paraId="53F0B8A6" w14:textId="07B58EAB" w:rsidR="002D71D4" w:rsidRPr="007A6F6F" w:rsidRDefault="000C3FAF" w:rsidP="007A6F6F">
      <w:pPr>
        <w:pStyle w:val="AccessibleHeader"/>
        <w:spacing w:before="0"/>
        <w:rPr>
          <w:b w:val="0"/>
        </w:rPr>
      </w:pPr>
      <w:r>
        <w:t>Changes to Regulatory Definitions FAQ Responses:</w:t>
      </w:r>
    </w:p>
    <w:p w14:paraId="54E8A2B4" w14:textId="77777777" w:rsidR="00EF4961" w:rsidRDefault="00EF4961" w:rsidP="006E41CA">
      <w:pPr>
        <w:pStyle w:val="ListParagraph"/>
        <w:numPr>
          <w:ilvl w:val="0"/>
          <w:numId w:val="17"/>
        </w:numPr>
        <w:spacing w:after="240"/>
        <w:contextualSpacing w:val="0"/>
        <w:rPr>
          <w:rFonts w:ascii="Arial" w:hAnsi="Arial" w:cs="Arial"/>
          <w:b/>
          <w:bCs/>
          <w:sz w:val="24"/>
          <w:szCs w:val="24"/>
        </w:rPr>
      </w:pPr>
      <w:r w:rsidRPr="00DA7114">
        <w:rPr>
          <w:rFonts w:ascii="Arial" w:hAnsi="Arial" w:cs="Arial"/>
          <w:b/>
          <w:bCs/>
          <w:sz w:val="24"/>
          <w:szCs w:val="24"/>
        </w:rPr>
        <w:t>Where have the definitions previou</w:t>
      </w:r>
      <w:r>
        <w:rPr>
          <w:rFonts w:ascii="Arial" w:hAnsi="Arial" w:cs="Arial"/>
          <w:b/>
          <w:bCs/>
          <w:sz w:val="24"/>
          <w:szCs w:val="24"/>
        </w:rPr>
        <w:t>s</w:t>
      </w:r>
      <w:r w:rsidRPr="00DA7114">
        <w:rPr>
          <w:rFonts w:ascii="Arial" w:hAnsi="Arial" w:cs="Arial"/>
          <w:b/>
          <w:bCs/>
          <w:sz w:val="24"/>
          <w:szCs w:val="24"/>
        </w:rPr>
        <w:t>ly in the</w:t>
      </w:r>
      <w:r w:rsidR="007A0184">
        <w:rPr>
          <w:rFonts w:ascii="Arial" w:hAnsi="Arial" w:cs="Arial"/>
          <w:b/>
          <w:bCs/>
          <w:sz w:val="24"/>
          <w:szCs w:val="24"/>
        </w:rPr>
        <w:t xml:space="preserve"> Annual Network Submission</w:t>
      </w:r>
      <w:r w:rsidRPr="00DA7114">
        <w:rPr>
          <w:rFonts w:ascii="Arial" w:hAnsi="Arial" w:cs="Arial"/>
          <w:b/>
          <w:bCs/>
          <w:sz w:val="24"/>
          <w:szCs w:val="24"/>
        </w:rPr>
        <w:t xml:space="preserve"> Instruction Manual been moved to</w:t>
      </w:r>
      <w:r>
        <w:rPr>
          <w:rFonts w:ascii="Arial" w:hAnsi="Arial" w:cs="Arial"/>
          <w:b/>
          <w:bCs/>
          <w:sz w:val="24"/>
          <w:szCs w:val="24"/>
        </w:rPr>
        <w:t>?</w:t>
      </w:r>
    </w:p>
    <w:p w14:paraId="7BB6AA87" w14:textId="77777777" w:rsidR="00C02F2E" w:rsidRPr="00BF60BB" w:rsidRDefault="00C02F2E" w:rsidP="00C02F2E">
      <w:pPr>
        <w:pStyle w:val="ListParagraph"/>
        <w:spacing w:after="240"/>
        <w:contextualSpacing w:val="0"/>
        <w:rPr>
          <w:rFonts w:ascii="Arial" w:hAnsi="Arial" w:cs="Arial"/>
          <w:sz w:val="24"/>
          <w:szCs w:val="24"/>
        </w:rPr>
      </w:pPr>
      <w:r w:rsidRPr="00C02F2E">
        <w:rPr>
          <w:rFonts w:ascii="Arial" w:hAnsi="Arial" w:cs="Arial"/>
          <w:sz w:val="24"/>
          <w:szCs w:val="24"/>
        </w:rPr>
        <w:t xml:space="preserve">For Reporting Year 2025, the </w:t>
      </w:r>
      <w:r>
        <w:rPr>
          <w:rFonts w:ascii="Arial" w:hAnsi="Arial" w:cs="Arial"/>
          <w:sz w:val="24"/>
          <w:szCs w:val="24"/>
        </w:rPr>
        <w:t>DMHC</w:t>
      </w:r>
      <w:r w:rsidRPr="00C02F2E">
        <w:rPr>
          <w:rFonts w:ascii="Arial" w:hAnsi="Arial" w:cs="Arial"/>
          <w:sz w:val="24"/>
          <w:szCs w:val="24"/>
        </w:rPr>
        <w:t xml:space="preserve"> moved several definitions previously included in the Definitions section of the Annual Network Submission Instruction Manual into Rule 1300.67.2.2(b</w:t>
      </w:r>
      <w:r w:rsidRPr="006D0482">
        <w:rPr>
          <w:rFonts w:ascii="Arial" w:hAnsi="Arial" w:cs="Arial"/>
          <w:sz w:val="24"/>
          <w:szCs w:val="24"/>
        </w:rPr>
        <w:t>).</w:t>
      </w:r>
      <w:r w:rsidR="00BF60BB" w:rsidRPr="00D80720">
        <w:rPr>
          <w:rFonts w:ascii="Arial" w:hAnsi="Arial" w:cs="Arial"/>
        </w:rPr>
        <w:t xml:space="preserve"> </w:t>
      </w:r>
      <w:r w:rsidR="00BF60BB" w:rsidRPr="00D80720">
        <w:rPr>
          <w:rFonts w:ascii="Arial" w:hAnsi="Arial" w:cs="Arial"/>
          <w:sz w:val="24"/>
          <w:szCs w:val="24"/>
        </w:rPr>
        <w:t>These definitions are applicable to both the Annual Network Report submission instructions incorporated in Rule 1300.67.2.2(h)(7), as well as monitoring requirements and the DMHC’s Annual Network Review.</w:t>
      </w:r>
    </w:p>
    <w:p w14:paraId="29B906C3" w14:textId="77777777" w:rsidR="00EF4961" w:rsidRDefault="00CF39E8" w:rsidP="006E41CA">
      <w:pPr>
        <w:pStyle w:val="ListParagraph"/>
        <w:numPr>
          <w:ilvl w:val="0"/>
          <w:numId w:val="17"/>
        </w:numPr>
        <w:spacing w:after="240"/>
        <w:contextualSpacing w:val="0"/>
        <w:rPr>
          <w:rFonts w:ascii="Arial" w:hAnsi="Arial" w:cs="Arial"/>
          <w:b/>
          <w:bCs/>
          <w:sz w:val="24"/>
          <w:szCs w:val="24"/>
        </w:rPr>
      </w:pPr>
      <w:r>
        <w:rPr>
          <w:rFonts w:ascii="Arial" w:hAnsi="Arial" w:cs="Arial"/>
          <w:b/>
          <w:bCs/>
          <w:sz w:val="24"/>
          <w:szCs w:val="24"/>
        </w:rPr>
        <w:t xml:space="preserve">The Instruction Manual references several definitions stated in Rule 1300.67.2.2. </w:t>
      </w:r>
      <w:r w:rsidR="00BF60BB" w:rsidRPr="000C3FAF">
        <w:rPr>
          <w:rFonts w:ascii="Arial" w:hAnsi="Arial" w:cs="Arial"/>
          <w:b/>
          <w:bCs/>
          <w:sz w:val="24"/>
          <w:szCs w:val="24"/>
        </w:rPr>
        <w:t>C</w:t>
      </w:r>
      <w:r w:rsidR="00BF60BB">
        <w:rPr>
          <w:rFonts w:ascii="Arial" w:hAnsi="Arial" w:cs="Arial"/>
          <w:b/>
          <w:bCs/>
          <w:sz w:val="24"/>
          <w:szCs w:val="24"/>
        </w:rPr>
        <w:t>an</w:t>
      </w:r>
      <w:r w:rsidR="00BF60BB" w:rsidRPr="000C3FAF">
        <w:rPr>
          <w:rFonts w:ascii="Arial" w:hAnsi="Arial" w:cs="Arial"/>
          <w:b/>
          <w:bCs/>
          <w:sz w:val="24"/>
          <w:szCs w:val="24"/>
        </w:rPr>
        <w:t xml:space="preserve"> </w:t>
      </w:r>
      <w:r w:rsidR="00EF4961" w:rsidRPr="000C3FAF">
        <w:rPr>
          <w:rFonts w:ascii="Arial" w:hAnsi="Arial" w:cs="Arial"/>
          <w:b/>
          <w:bCs/>
          <w:sz w:val="24"/>
          <w:szCs w:val="24"/>
        </w:rPr>
        <w:t xml:space="preserve">the </w:t>
      </w:r>
      <w:r w:rsidR="00C02F2E">
        <w:rPr>
          <w:rFonts w:ascii="Arial" w:hAnsi="Arial" w:cs="Arial"/>
          <w:b/>
          <w:bCs/>
          <w:sz w:val="24"/>
          <w:szCs w:val="24"/>
        </w:rPr>
        <w:t>DMHC</w:t>
      </w:r>
      <w:r w:rsidR="00EF4961" w:rsidRPr="000C3FAF">
        <w:rPr>
          <w:rFonts w:ascii="Arial" w:hAnsi="Arial" w:cs="Arial"/>
          <w:b/>
          <w:bCs/>
          <w:sz w:val="24"/>
          <w:szCs w:val="24"/>
        </w:rPr>
        <w:t xml:space="preserve"> </w:t>
      </w:r>
      <w:r w:rsidRPr="000C3FAF">
        <w:rPr>
          <w:rFonts w:ascii="Arial" w:hAnsi="Arial" w:cs="Arial"/>
          <w:b/>
          <w:bCs/>
          <w:sz w:val="24"/>
          <w:szCs w:val="24"/>
        </w:rPr>
        <w:t>re</w:t>
      </w:r>
      <w:r>
        <w:rPr>
          <w:rFonts w:ascii="Arial" w:hAnsi="Arial" w:cs="Arial"/>
          <w:b/>
          <w:bCs/>
          <w:sz w:val="24"/>
          <w:szCs w:val="24"/>
        </w:rPr>
        <w:t>state</w:t>
      </w:r>
      <w:r w:rsidRPr="000C3FAF">
        <w:rPr>
          <w:rFonts w:ascii="Arial" w:hAnsi="Arial" w:cs="Arial"/>
          <w:b/>
          <w:bCs/>
          <w:sz w:val="24"/>
          <w:szCs w:val="24"/>
        </w:rPr>
        <w:t xml:space="preserve"> </w:t>
      </w:r>
      <w:r w:rsidR="00EF4961" w:rsidRPr="000C3FAF">
        <w:rPr>
          <w:rFonts w:ascii="Arial" w:hAnsi="Arial" w:cs="Arial"/>
          <w:b/>
          <w:bCs/>
          <w:sz w:val="24"/>
          <w:szCs w:val="24"/>
        </w:rPr>
        <w:t>the</w:t>
      </w:r>
      <w:r>
        <w:rPr>
          <w:rFonts w:ascii="Arial" w:hAnsi="Arial" w:cs="Arial"/>
          <w:b/>
          <w:bCs/>
          <w:sz w:val="24"/>
          <w:szCs w:val="24"/>
        </w:rPr>
        <w:t>se</w:t>
      </w:r>
      <w:r w:rsidR="00EF4961" w:rsidRPr="000C3FAF">
        <w:rPr>
          <w:rFonts w:ascii="Arial" w:hAnsi="Arial" w:cs="Arial"/>
          <w:b/>
          <w:bCs/>
          <w:sz w:val="24"/>
          <w:szCs w:val="24"/>
        </w:rPr>
        <w:t xml:space="preserve"> definitions within the Annual Network Submission</w:t>
      </w:r>
      <w:r w:rsidR="00ED1DC8">
        <w:rPr>
          <w:rFonts w:ascii="Arial" w:hAnsi="Arial" w:cs="Arial"/>
          <w:b/>
          <w:bCs/>
          <w:sz w:val="24"/>
          <w:szCs w:val="24"/>
        </w:rPr>
        <w:t xml:space="preserve"> Instruction</w:t>
      </w:r>
      <w:r w:rsidR="00EF4961" w:rsidRPr="000C3FAF">
        <w:rPr>
          <w:rFonts w:ascii="Arial" w:hAnsi="Arial" w:cs="Arial"/>
          <w:b/>
          <w:bCs/>
          <w:sz w:val="24"/>
          <w:szCs w:val="24"/>
        </w:rPr>
        <w:t xml:space="preserve"> Manual</w:t>
      </w:r>
      <w:r>
        <w:rPr>
          <w:rFonts w:ascii="Arial" w:hAnsi="Arial" w:cs="Arial"/>
          <w:b/>
          <w:bCs/>
          <w:sz w:val="24"/>
          <w:szCs w:val="24"/>
        </w:rPr>
        <w:t xml:space="preserve"> in their entirety, instead of referencing the Rule</w:t>
      </w:r>
      <w:r w:rsidR="00EF4961">
        <w:rPr>
          <w:rFonts w:ascii="Arial" w:hAnsi="Arial" w:cs="Arial"/>
          <w:b/>
          <w:bCs/>
          <w:sz w:val="24"/>
          <w:szCs w:val="24"/>
        </w:rPr>
        <w:t>?</w:t>
      </w:r>
    </w:p>
    <w:p w14:paraId="3A453B49" w14:textId="77777777" w:rsidR="00A7330C" w:rsidRDefault="00C02F2E" w:rsidP="00C02F2E">
      <w:pPr>
        <w:pStyle w:val="ListParagraph"/>
        <w:spacing w:after="240"/>
        <w:contextualSpacing w:val="0"/>
        <w:rPr>
          <w:rFonts w:ascii="Arial" w:hAnsi="Arial" w:cs="Arial"/>
          <w:sz w:val="24"/>
          <w:szCs w:val="24"/>
        </w:rPr>
      </w:pPr>
      <w:r>
        <w:rPr>
          <w:rFonts w:ascii="Arial" w:hAnsi="Arial" w:cs="Arial"/>
          <w:sz w:val="24"/>
          <w:szCs w:val="24"/>
        </w:rPr>
        <w:t>Due to the potential risk of inconsistent language, rather than restate definitions now included in Rule 1300.67.2.2(b), the Annual Network Submission Instruction Manual incorporates these definitions by reference.</w:t>
      </w:r>
    </w:p>
    <w:p w14:paraId="0D002E33" w14:textId="77777777" w:rsidR="002D71D4" w:rsidRDefault="00A7330C" w:rsidP="00A7330C">
      <w:pPr>
        <w:pStyle w:val="InsideAddressName"/>
        <w:numPr>
          <w:ilvl w:val="0"/>
          <w:numId w:val="17"/>
        </w:numPr>
        <w:rPr>
          <w:rFonts w:cs="Arial"/>
          <w:b/>
          <w:bCs/>
          <w:sz w:val="24"/>
          <w:szCs w:val="24"/>
        </w:rPr>
      </w:pPr>
      <w:r>
        <w:br w:type="page"/>
      </w:r>
      <w:r w:rsidR="00DA7114">
        <w:rPr>
          <w:rFonts w:cs="Arial"/>
          <w:b/>
          <w:bCs/>
          <w:sz w:val="24"/>
          <w:szCs w:val="24"/>
        </w:rPr>
        <w:lastRenderedPageBreak/>
        <w:t>T</w:t>
      </w:r>
      <w:r w:rsidR="00DA7114" w:rsidRPr="00DA7114">
        <w:rPr>
          <w:rFonts w:cs="Arial"/>
          <w:b/>
          <w:bCs/>
          <w:sz w:val="24"/>
          <w:szCs w:val="24"/>
        </w:rPr>
        <w:t xml:space="preserve">he </w:t>
      </w:r>
      <w:r w:rsidR="000C6C42">
        <w:rPr>
          <w:rFonts w:cs="Arial"/>
          <w:b/>
          <w:bCs/>
          <w:sz w:val="24"/>
          <w:szCs w:val="24"/>
        </w:rPr>
        <w:t>DMHC</w:t>
      </w:r>
      <w:r w:rsidR="00DA7114" w:rsidRPr="00DA7114">
        <w:rPr>
          <w:rFonts w:cs="Arial"/>
          <w:b/>
          <w:bCs/>
          <w:sz w:val="24"/>
          <w:szCs w:val="24"/>
        </w:rPr>
        <w:t xml:space="preserve"> </w:t>
      </w:r>
      <w:r w:rsidR="00F63691">
        <w:rPr>
          <w:rFonts w:cs="Arial"/>
          <w:b/>
          <w:bCs/>
          <w:sz w:val="24"/>
          <w:szCs w:val="24"/>
        </w:rPr>
        <w:t xml:space="preserve">revised the definition for </w:t>
      </w:r>
      <w:r w:rsidR="00725984">
        <w:rPr>
          <w:rFonts w:cs="Arial"/>
          <w:b/>
          <w:bCs/>
          <w:sz w:val="24"/>
          <w:szCs w:val="24"/>
        </w:rPr>
        <w:t>“</w:t>
      </w:r>
      <w:r w:rsidR="00DA7114" w:rsidRPr="00DA7114">
        <w:rPr>
          <w:rFonts w:cs="Arial"/>
          <w:b/>
          <w:bCs/>
          <w:sz w:val="24"/>
          <w:szCs w:val="24"/>
        </w:rPr>
        <w:t>accepting new patients</w:t>
      </w:r>
      <w:r w:rsidR="00F63691">
        <w:rPr>
          <w:rFonts w:cs="Arial"/>
          <w:b/>
          <w:bCs/>
          <w:sz w:val="24"/>
          <w:szCs w:val="24"/>
        </w:rPr>
        <w:t>,</w:t>
      </w:r>
      <w:r w:rsidR="00725984">
        <w:rPr>
          <w:rFonts w:cs="Arial"/>
          <w:b/>
          <w:bCs/>
          <w:sz w:val="24"/>
          <w:szCs w:val="24"/>
        </w:rPr>
        <w:t>”</w:t>
      </w:r>
      <w:r w:rsidR="00F63691">
        <w:rPr>
          <w:rFonts w:cs="Arial"/>
          <w:b/>
          <w:bCs/>
          <w:sz w:val="24"/>
          <w:szCs w:val="24"/>
        </w:rPr>
        <w:t xml:space="preserve"> and moved the definition</w:t>
      </w:r>
      <w:r w:rsidR="00DA7114" w:rsidRPr="00DA7114">
        <w:rPr>
          <w:rFonts w:cs="Arial"/>
          <w:b/>
          <w:bCs/>
          <w:sz w:val="24"/>
          <w:szCs w:val="24"/>
        </w:rPr>
        <w:t xml:space="preserve"> from the Annual Network Submission Instruction Manual, into Rule 1300.67.2.2(b). </w:t>
      </w:r>
      <w:r w:rsidR="00BF60BB" w:rsidRPr="00DA7114">
        <w:rPr>
          <w:rFonts w:cs="Arial"/>
          <w:b/>
          <w:bCs/>
          <w:sz w:val="24"/>
          <w:szCs w:val="24"/>
        </w:rPr>
        <w:t>C</w:t>
      </w:r>
      <w:r w:rsidR="00BF60BB">
        <w:rPr>
          <w:rFonts w:cs="Arial"/>
          <w:b/>
          <w:bCs/>
          <w:sz w:val="24"/>
          <w:szCs w:val="24"/>
        </w:rPr>
        <w:t>an</w:t>
      </w:r>
      <w:r w:rsidR="00BF60BB" w:rsidRPr="00DA7114">
        <w:rPr>
          <w:rFonts w:cs="Arial"/>
          <w:b/>
          <w:bCs/>
          <w:sz w:val="24"/>
          <w:szCs w:val="24"/>
        </w:rPr>
        <w:t xml:space="preserve"> </w:t>
      </w:r>
      <w:r w:rsidR="00DA7114" w:rsidRPr="00DA7114">
        <w:rPr>
          <w:rFonts w:cs="Arial"/>
          <w:b/>
          <w:bCs/>
          <w:sz w:val="24"/>
          <w:szCs w:val="24"/>
        </w:rPr>
        <w:t xml:space="preserve">the </w:t>
      </w:r>
      <w:r w:rsidR="000C6C42">
        <w:rPr>
          <w:rFonts w:cs="Arial"/>
          <w:b/>
          <w:bCs/>
          <w:sz w:val="24"/>
          <w:szCs w:val="24"/>
        </w:rPr>
        <w:t>DMHC</w:t>
      </w:r>
      <w:r w:rsidR="00DA7114" w:rsidRPr="00DA7114">
        <w:rPr>
          <w:rFonts w:cs="Arial"/>
          <w:b/>
          <w:bCs/>
          <w:sz w:val="24"/>
          <w:szCs w:val="24"/>
        </w:rPr>
        <w:t xml:space="preserve"> provide further clarification on what counts as a current patient for purposes of this definition</w:t>
      </w:r>
      <w:r w:rsidR="00DA7114">
        <w:rPr>
          <w:rFonts w:cs="Arial"/>
          <w:b/>
          <w:bCs/>
          <w:sz w:val="24"/>
          <w:szCs w:val="24"/>
        </w:rPr>
        <w:t>?</w:t>
      </w:r>
    </w:p>
    <w:p w14:paraId="5AF9035D" w14:textId="77777777" w:rsidR="00A7330C" w:rsidRDefault="00C02F2E" w:rsidP="00EE24E8">
      <w:pPr>
        <w:pStyle w:val="ListParagraph"/>
        <w:spacing w:before="240" w:after="0"/>
        <w:contextualSpacing w:val="0"/>
        <w:rPr>
          <w:rFonts w:ascii="Arial" w:hAnsi="Arial" w:cs="Arial"/>
          <w:sz w:val="24"/>
          <w:szCs w:val="24"/>
        </w:rPr>
      </w:pPr>
      <w:r>
        <w:rPr>
          <w:rFonts w:ascii="Arial" w:hAnsi="Arial" w:cs="Arial"/>
          <w:sz w:val="24"/>
          <w:szCs w:val="24"/>
        </w:rPr>
        <w:t xml:space="preserve">In response to stakeholder feedback, the DMHC </w:t>
      </w:r>
      <w:r w:rsidR="00F63691">
        <w:rPr>
          <w:rFonts w:ascii="Arial" w:hAnsi="Arial" w:cs="Arial"/>
          <w:sz w:val="24"/>
          <w:szCs w:val="24"/>
        </w:rPr>
        <w:t xml:space="preserve">further </w:t>
      </w:r>
      <w:r>
        <w:rPr>
          <w:rFonts w:ascii="Arial" w:hAnsi="Arial" w:cs="Arial"/>
          <w:sz w:val="24"/>
          <w:szCs w:val="24"/>
        </w:rPr>
        <w:t xml:space="preserve">revised the definition of “accepting new patients” </w:t>
      </w:r>
      <w:r w:rsidR="00DC611D">
        <w:rPr>
          <w:rFonts w:ascii="Arial" w:hAnsi="Arial" w:cs="Arial"/>
          <w:sz w:val="24"/>
          <w:szCs w:val="24"/>
        </w:rPr>
        <w:t>to clarify that the provider must be available to deliver care to enrollees in the network who are not currently patients or are not assigned to the network provider. Please see the complete definition in the attached Rule 1300.67.2.2(b) for the updated language and additional criteria.</w:t>
      </w:r>
    </w:p>
    <w:p w14:paraId="1E02E067" w14:textId="77777777" w:rsidR="00DA7114" w:rsidRDefault="00DA7114" w:rsidP="00A7330C">
      <w:pPr>
        <w:pStyle w:val="InsideAddressName"/>
        <w:numPr>
          <w:ilvl w:val="0"/>
          <w:numId w:val="17"/>
        </w:numPr>
        <w:spacing w:after="240"/>
        <w:rPr>
          <w:rFonts w:cs="Arial"/>
          <w:b/>
          <w:bCs/>
          <w:sz w:val="24"/>
          <w:szCs w:val="24"/>
        </w:rPr>
      </w:pPr>
      <w:r w:rsidRPr="00DA7114">
        <w:rPr>
          <w:rFonts w:cs="Arial"/>
          <w:b/>
          <w:bCs/>
          <w:sz w:val="24"/>
          <w:szCs w:val="24"/>
        </w:rPr>
        <w:t>Why has the DMHC updated the definition of practice address</w:t>
      </w:r>
      <w:r>
        <w:rPr>
          <w:rFonts w:cs="Arial"/>
          <w:b/>
          <w:bCs/>
          <w:sz w:val="24"/>
          <w:szCs w:val="24"/>
        </w:rPr>
        <w:t>?</w:t>
      </w:r>
    </w:p>
    <w:p w14:paraId="6F678C2F" w14:textId="77777777" w:rsidR="00F63691" w:rsidRDefault="00DC611D" w:rsidP="00F63691">
      <w:pPr>
        <w:pStyle w:val="ListParagraph"/>
        <w:spacing w:after="240"/>
        <w:contextualSpacing w:val="0"/>
        <w:rPr>
          <w:rFonts w:ascii="Arial" w:hAnsi="Arial" w:cs="Arial"/>
          <w:sz w:val="24"/>
          <w:szCs w:val="24"/>
        </w:rPr>
      </w:pPr>
      <w:r>
        <w:rPr>
          <w:rFonts w:ascii="Arial" w:hAnsi="Arial" w:cs="Arial"/>
          <w:sz w:val="24"/>
          <w:szCs w:val="24"/>
        </w:rPr>
        <w:t>The DMHC revised the definition of “practice address” and “practice location or locations</w:t>
      </w:r>
      <w:r w:rsidR="00BF60BB">
        <w:rPr>
          <w:rFonts w:ascii="Arial" w:hAnsi="Arial" w:cs="Arial"/>
          <w:sz w:val="24"/>
          <w:szCs w:val="24"/>
        </w:rPr>
        <w:t>” to emphasize that the practice address must be the physical location where the provider is actively delivering in-person health care services.</w:t>
      </w:r>
      <w:r w:rsidR="00F63691">
        <w:rPr>
          <w:rFonts w:ascii="Arial" w:hAnsi="Arial" w:cs="Arial"/>
          <w:sz w:val="24"/>
          <w:szCs w:val="24"/>
        </w:rPr>
        <w:t xml:space="preserve"> </w:t>
      </w:r>
      <w:r w:rsidR="00BF60BB">
        <w:rPr>
          <w:rFonts w:ascii="Arial" w:hAnsi="Arial" w:cs="Arial"/>
          <w:sz w:val="24"/>
          <w:szCs w:val="24"/>
        </w:rPr>
        <w:t xml:space="preserve">Occasionally, a provider may have more than one practice location; however, health plans should not report </w:t>
      </w:r>
      <w:r w:rsidR="001261EC">
        <w:rPr>
          <w:rFonts w:ascii="Arial" w:hAnsi="Arial" w:cs="Arial"/>
          <w:sz w:val="24"/>
          <w:szCs w:val="24"/>
        </w:rPr>
        <w:t xml:space="preserve">a provider </w:t>
      </w:r>
      <w:r w:rsidR="00BF60BB">
        <w:rPr>
          <w:rFonts w:ascii="Arial" w:hAnsi="Arial" w:cs="Arial"/>
          <w:sz w:val="24"/>
          <w:szCs w:val="24"/>
        </w:rPr>
        <w:t>address</w:t>
      </w:r>
      <w:r w:rsidR="001261EC">
        <w:rPr>
          <w:rFonts w:ascii="Arial" w:hAnsi="Arial" w:cs="Arial"/>
          <w:sz w:val="24"/>
          <w:szCs w:val="24"/>
        </w:rPr>
        <w:t xml:space="preserve"> as a practice address</w:t>
      </w:r>
      <w:r w:rsidR="00BF60BB">
        <w:rPr>
          <w:rFonts w:ascii="Arial" w:hAnsi="Arial" w:cs="Arial"/>
          <w:sz w:val="24"/>
          <w:szCs w:val="24"/>
        </w:rPr>
        <w:t xml:space="preserve"> unless the </w:t>
      </w:r>
      <w:r w:rsidR="001261EC">
        <w:rPr>
          <w:rFonts w:ascii="Arial" w:hAnsi="Arial" w:cs="Arial"/>
          <w:sz w:val="24"/>
          <w:szCs w:val="24"/>
        </w:rPr>
        <w:t xml:space="preserve">individual provider reported </w:t>
      </w:r>
      <w:r w:rsidR="00BF60BB">
        <w:rPr>
          <w:rFonts w:ascii="Arial" w:hAnsi="Arial" w:cs="Arial"/>
          <w:sz w:val="24"/>
          <w:szCs w:val="24"/>
        </w:rPr>
        <w:t>is physically present at the location</w:t>
      </w:r>
      <w:r w:rsidR="001261EC">
        <w:rPr>
          <w:rFonts w:ascii="Arial" w:hAnsi="Arial" w:cs="Arial"/>
          <w:sz w:val="24"/>
          <w:szCs w:val="24"/>
        </w:rPr>
        <w:t>,</w:t>
      </w:r>
      <w:r w:rsidR="00BF60BB">
        <w:rPr>
          <w:rFonts w:ascii="Arial" w:hAnsi="Arial" w:cs="Arial"/>
          <w:sz w:val="24"/>
          <w:szCs w:val="24"/>
        </w:rPr>
        <w:t xml:space="preserve"> </w:t>
      </w:r>
      <w:r w:rsidR="001261EC">
        <w:rPr>
          <w:rFonts w:ascii="Arial" w:hAnsi="Arial" w:cs="Arial"/>
          <w:sz w:val="24"/>
          <w:szCs w:val="24"/>
        </w:rPr>
        <w:t>providing</w:t>
      </w:r>
      <w:r w:rsidR="00BF60BB">
        <w:rPr>
          <w:rFonts w:ascii="Arial" w:hAnsi="Arial" w:cs="Arial"/>
          <w:sz w:val="24"/>
          <w:szCs w:val="24"/>
        </w:rPr>
        <w:t xml:space="preserve"> </w:t>
      </w:r>
      <w:r w:rsidR="001261EC">
        <w:rPr>
          <w:rFonts w:ascii="Arial" w:hAnsi="Arial" w:cs="Arial"/>
          <w:sz w:val="24"/>
          <w:szCs w:val="24"/>
        </w:rPr>
        <w:t xml:space="preserve">in-person </w:t>
      </w:r>
      <w:r w:rsidR="00BF60BB">
        <w:rPr>
          <w:rFonts w:ascii="Arial" w:hAnsi="Arial" w:cs="Arial"/>
          <w:sz w:val="24"/>
          <w:szCs w:val="24"/>
        </w:rPr>
        <w:t>health care services</w:t>
      </w:r>
      <w:r w:rsidR="001261EC">
        <w:rPr>
          <w:rFonts w:ascii="Arial" w:hAnsi="Arial" w:cs="Arial"/>
          <w:sz w:val="24"/>
          <w:szCs w:val="24"/>
        </w:rPr>
        <w:t xml:space="preserve"> to network enrollees</w:t>
      </w:r>
      <w:r w:rsidR="00BF60BB">
        <w:rPr>
          <w:rFonts w:ascii="Arial" w:hAnsi="Arial" w:cs="Arial"/>
          <w:sz w:val="24"/>
          <w:szCs w:val="24"/>
        </w:rPr>
        <w:t>.</w:t>
      </w:r>
    </w:p>
    <w:p w14:paraId="7279CCD3" w14:textId="77777777" w:rsidR="00BF60BB" w:rsidRPr="00DC611D" w:rsidRDefault="001261EC" w:rsidP="00F63691">
      <w:pPr>
        <w:pStyle w:val="ListParagraph"/>
        <w:spacing w:after="240"/>
        <w:contextualSpacing w:val="0"/>
        <w:rPr>
          <w:rFonts w:ascii="Arial" w:hAnsi="Arial" w:cs="Arial"/>
          <w:sz w:val="24"/>
          <w:szCs w:val="24"/>
        </w:rPr>
      </w:pPr>
      <w:r>
        <w:rPr>
          <w:rFonts w:ascii="Arial" w:hAnsi="Arial" w:cs="Arial"/>
          <w:sz w:val="24"/>
          <w:szCs w:val="24"/>
        </w:rPr>
        <w:t>In</w:t>
      </w:r>
      <w:r w:rsidR="00BF60BB">
        <w:rPr>
          <w:rFonts w:ascii="Arial" w:hAnsi="Arial" w:cs="Arial"/>
          <w:sz w:val="24"/>
          <w:szCs w:val="24"/>
        </w:rPr>
        <w:t xml:space="preserve"> response to </w:t>
      </w:r>
      <w:r>
        <w:rPr>
          <w:rFonts w:ascii="Arial" w:hAnsi="Arial" w:cs="Arial"/>
          <w:sz w:val="24"/>
          <w:szCs w:val="24"/>
        </w:rPr>
        <w:t xml:space="preserve">recent </w:t>
      </w:r>
      <w:r w:rsidR="00BF60BB">
        <w:rPr>
          <w:rFonts w:ascii="Arial" w:hAnsi="Arial" w:cs="Arial"/>
          <w:sz w:val="24"/>
          <w:szCs w:val="24"/>
        </w:rPr>
        <w:t xml:space="preserve">stakeholder feedback, </w:t>
      </w:r>
      <w:r>
        <w:rPr>
          <w:rFonts w:ascii="Arial" w:hAnsi="Arial" w:cs="Arial"/>
          <w:sz w:val="24"/>
          <w:szCs w:val="24"/>
        </w:rPr>
        <w:t>the DMHC</w:t>
      </w:r>
      <w:r w:rsidR="00BF60BB">
        <w:rPr>
          <w:rFonts w:ascii="Arial" w:hAnsi="Arial" w:cs="Arial"/>
          <w:sz w:val="24"/>
          <w:szCs w:val="24"/>
        </w:rPr>
        <w:t xml:space="preserve"> simplif</w:t>
      </w:r>
      <w:r>
        <w:rPr>
          <w:rFonts w:ascii="Arial" w:hAnsi="Arial" w:cs="Arial"/>
          <w:sz w:val="24"/>
          <w:szCs w:val="24"/>
        </w:rPr>
        <w:t xml:space="preserve">ied the definition to remove any barriers to the reporting of legitimate practice addresses for network providers. However, due to the large volume of practice addresses reported </w:t>
      </w:r>
      <w:r w:rsidR="00F63691">
        <w:rPr>
          <w:rFonts w:ascii="Arial" w:hAnsi="Arial" w:cs="Arial"/>
          <w:sz w:val="24"/>
          <w:szCs w:val="24"/>
        </w:rPr>
        <w:t xml:space="preserve">for many providers </w:t>
      </w:r>
      <w:r w:rsidR="00BA1A79">
        <w:rPr>
          <w:rFonts w:ascii="Arial" w:hAnsi="Arial" w:cs="Arial"/>
          <w:sz w:val="24"/>
          <w:szCs w:val="24"/>
        </w:rPr>
        <w:t>in past measurement years</w:t>
      </w:r>
      <w:r>
        <w:rPr>
          <w:rFonts w:ascii="Arial" w:hAnsi="Arial" w:cs="Arial"/>
          <w:sz w:val="24"/>
          <w:szCs w:val="24"/>
        </w:rPr>
        <w:t>, in subsequent reporting years the DMHC will continue to evaluate</w:t>
      </w:r>
      <w:r w:rsidR="00F63691">
        <w:rPr>
          <w:rFonts w:ascii="Arial" w:hAnsi="Arial" w:cs="Arial"/>
          <w:sz w:val="24"/>
          <w:szCs w:val="24"/>
        </w:rPr>
        <w:t xml:space="preserve"> this definition, and reporting</w:t>
      </w:r>
      <w:r>
        <w:rPr>
          <w:rFonts w:ascii="Arial" w:hAnsi="Arial" w:cs="Arial"/>
          <w:sz w:val="24"/>
          <w:szCs w:val="24"/>
        </w:rPr>
        <w:t xml:space="preserve"> instructions that require health plans to demonstrate that the practice addresses reported are current </w:t>
      </w:r>
      <w:r w:rsidR="00481854">
        <w:rPr>
          <w:rFonts w:ascii="Arial" w:hAnsi="Arial" w:cs="Arial"/>
          <w:sz w:val="24"/>
          <w:szCs w:val="24"/>
        </w:rPr>
        <w:t>and accurate</w:t>
      </w:r>
      <w:r>
        <w:rPr>
          <w:rFonts w:ascii="Arial" w:hAnsi="Arial" w:cs="Arial"/>
          <w:sz w:val="24"/>
          <w:szCs w:val="24"/>
        </w:rPr>
        <w:t xml:space="preserve">. </w:t>
      </w:r>
      <w:r w:rsidR="00BF60BB">
        <w:rPr>
          <w:rFonts w:ascii="Arial" w:hAnsi="Arial" w:cs="Arial"/>
          <w:sz w:val="24"/>
          <w:szCs w:val="24"/>
        </w:rPr>
        <w:t>Please see the complete definition in the attached Rule 1300.67.2.2(b) for the updated language.</w:t>
      </w:r>
    </w:p>
    <w:p w14:paraId="45B3AE44" w14:textId="77777777" w:rsidR="007034E7" w:rsidRPr="006B336B" w:rsidRDefault="001261EC" w:rsidP="001261EC">
      <w:pPr>
        <w:pStyle w:val="ListParagraph"/>
        <w:numPr>
          <w:ilvl w:val="0"/>
          <w:numId w:val="17"/>
        </w:numPr>
        <w:spacing w:after="240"/>
        <w:contextualSpacing w:val="0"/>
        <w:rPr>
          <w:rFonts w:ascii="Arial" w:hAnsi="Arial" w:cs="Arial"/>
          <w:b/>
          <w:bCs/>
          <w:sz w:val="24"/>
          <w:szCs w:val="24"/>
        </w:rPr>
      </w:pPr>
      <w:r w:rsidRPr="00D80720">
        <w:rPr>
          <w:rFonts w:ascii="Arial" w:hAnsi="Arial" w:cs="Arial"/>
          <w:b/>
          <w:bCs/>
          <w:sz w:val="24"/>
          <w:szCs w:val="24"/>
        </w:rPr>
        <w:t>W</w:t>
      </w:r>
      <w:r w:rsidR="00DA7114" w:rsidRPr="006B336B">
        <w:rPr>
          <w:rFonts w:ascii="Arial" w:hAnsi="Arial" w:cs="Arial"/>
          <w:b/>
          <w:bCs/>
          <w:sz w:val="24"/>
          <w:szCs w:val="24"/>
        </w:rPr>
        <w:t>hy has the DMHC updated the definition of specialty and subspecialty?</w:t>
      </w:r>
    </w:p>
    <w:p w14:paraId="19314B09" w14:textId="77777777" w:rsidR="00A7330C" w:rsidRDefault="00C17CFD" w:rsidP="00B827AD">
      <w:pPr>
        <w:pStyle w:val="ListParagraph"/>
        <w:spacing w:after="240"/>
        <w:contextualSpacing w:val="0"/>
        <w:rPr>
          <w:rFonts w:ascii="Arial" w:hAnsi="Arial" w:cs="Arial"/>
          <w:sz w:val="24"/>
          <w:szCs w:val="24"/>
        </w:rPr>
      </w:pPr>
      <w:r w:rsidRPr="006B336B">
        <w:rPr>
          <w:rFonts w:ascii="Arial" w:hAnsi="Arial" w:cs="Arial"/>
          <w:sz w:val="24"/>
          <w:szCs w:val="24"/>
        </w:rPr>
        <w:t xml:space="preserve">In response to </w:t>
      </w:r>
      <w:r w:rsidR="00F63691">
        <w:rPr>
          <w:rFonts w:ascii="Arial" w:hAnsi="Arial" w:cs="Arial"/>
          <w:sz w:val="24"/>
          <w:szCs w:val="24"/>
        </w:rPr>
        <w:t xml:space="preserve">recent </w:t>
      </w:r>
      <w:r w:rsidRPr="006B336B">
        <w:rPr>
          <w:rFonts w:ascii="Arial" w:hAnsi="Arial" w:cs="Arial"/>
          <w:sz w:val="24"/>
          <w:szCs w:val="24"/>
        </w:rPr>
        <w:t>stakeholder feedback, the DMHC revised</w:t>
      </w:r>
      <w:r w:rsidR="00B827AD" w:rsidRPr="006B336B">
        <w:rPr>
          <w:rFonts w:ascii="Arial" w:hAnsi="Arial" w:cs="Arial"/>
          <w:sz w:val="24"/>
          <w:szCs w:val="24"/>
        </w:rPr>
        <w:t xml:space="preserve"> the definition of “specialty” and “subspecialty” </w:t>
      </w:r>
      <w:r w:rsidRPr="006B336B">
        <w:rPr>
          <w:rFonts w:ascii="Arial" w:hAnsi="Arial" w:cs="Arial"/>
          <w:sz w:val="24"/>
          <w:szCs w:val="24"/>
        </w:rPr>
        <w:t xml:space="preserve">to clarify the requirements for reporting and review. A </w:t>
      </w:r>
      <w:r w:rsidR="00544973" w:rsidRPr="006B336B">
        <w:rPr>
          <w:rFonts w:ascii="Arial" w:hAnsi="Arial" w:cs="Arial"/>
          <w:sz w:val="24"/>
          <w:szCs w:val="24"/>
        </w:rPr>
        <w:t xml:space="preserve">provider’s </w:t>
      </w:r>
      <w:r w:rsidRPr="006B336B">
        <w:rPr>
          <w:rFonts w:ascii="Arial" w:hAnsi="Arial" w:cs="Arial"/>
          <w:sz w:val="24"/>
          <w:szCs w:val="24"/>
        </w:rPr>
        <w:t>specialty</w:t>
      </w:r>
      <w:r>
        <w:rPr>
          <w:rFonts w:ascii="Arial" w:hAnsi="Arial" w:cs="Arial"/>
          <w:sz w:val="24"/>
          <w:szCs w:val="24"/>
        </w:rPr>
        <w:t xml:space="preserve"> and/or subspecialty is </w:t>
      </w:r>
      <w:r w:rsidRPr="00D80720">
        <w:rPr>
          <w:rFonts w:ascii="Arial" w:hAnsi="Arial" w:cs="Arial"/>
          <w:sz w:val="24"/>
          <w:szCs w:val="24"/>
        </w:rPr>
        <w:t xml:space="preserve">the primary specialty or subspecialty type(s) the provider currently practices </w:t>
      </w:r>
      <w:r w:rsidRPr="00B51720">
        <w:rPr>
          <w:rFonts w:ascii="Arial" w:hAnsi="Arial" w:cs="Arial"/>
          <w:sz w:val="24"/>
          <w:szCs w:val="24"/>
        </w:rPr>
        <w:t xml:space="preserve">in the network, and for which the provider has been credentialed by or on behalf of the health plan. </w:t>
      </w:r>
      <w:r>
        <w:rPr>
          <w:rFonts w:ascii="Arial" w:hAnsi="Arial" w:cs="Arial"/>
          <w:sz w:val="24"/>
          <w:szCs w:val="24"/>
        </w:rPr>
        <w:t xml:space="preserve">Specialty must be </w:t>
      </w:r>
      <w:r w:rsidR="0068796F" w:rsidRPr="00C17CFD">
        <w:rPr>
          <w:rFonts w:ascii="Arial" w:hAnsi="Arial" w:cs="Arial"/>
          <w:sz w:val="24"/>
          <w:szCs w:val="24"/>
        </w:rPr>
        <w:t>c</w:t>
      </w:r>
      <w:r w:rsidR="0068796F">
        <w:rPr>
          <w:rFonts w:ascii="Arial" w:hAnsi="Arial" w:cs="Arial"/>
          <w:sz w:val="24"/>
          <w:szCs w:val="24"/>
        </w:rPr>
        <w:t xml:space="preserve">onsistent with board certification where applicable, and </w:t>
      </w:r>
      <w:r>
        <w:rPr>
          <w:rFonts w:ascii="Arial" w:hAnsi="Arial" w:cs="Arial"/>
          <w:sz w:val="24"/>
          <w:szCs w:val="24"/>
        </w:rPr>
        <w:t>when not applicable, consistent with required education, experience and training, and subject to the Plan’s quality assurance program.</w:t>
      </w:r>
    </w:p>
    <w:p w14:paraId="13185411" w14:textId="77777777" w:rsidR="00725984" w:rsidRDefault="00A7330C" w:rsidP="00A7330C">
      <w:pPr>
        <w:pStyle w:val="InsideAddressName"/>
        <w:numPr>
          <w:ilvl w:val="0"/>
          <w:numId w:val="17"/>
        </w:numPr>
        <w:rPr>
          <w:rFonts w:cs="Arial"/>
          <w:b/>
          <w:bCs/>
          <w:sz w:val="24"/>
          <w:szCs w:val="24"/>
        </w:rPr>
      </w:pPr>
      <w:r>
        <w:br w:type="page"/>
      </w:r>
      <w:r w:rsidR="00725984" w:rsidRPr="006B336B">
        <w:rPr>
          <w:rFonts w:cs="Arial"/>
          <w:b/>
          <w:bCs/>
          <w:sz w:val="24"/>
          <w:szCs w:val="24"/>
        </w:rPr>
        <w:lastRenderedPageBreak/>
        <w:t xml:space="preserve">Must the Plan only report in the </w:t>
      </w:r>
      <w:r w:rsidR="00DF1DD2" w:rsidRPr="006B336B">
        <w:rPr>
          <w:rFonts w:cs="Arial"/>
          <w:b/>
          <w:bCs/>
          <w:sz w:val="24"/>
          <w:szCs w:val="24"/>
        </w:rPr>
        <w:t>“</w:t>
      </w:r>
      <w:r w:rsidR="00725984" w:rsidRPr="006B336B">
        <w:rPr>
          <w:rFonts w:cs="Arial"/>
          <w:b/>
          <w:bCs/>
          <w:sz w:val="24"/>
          <w:szCs w:val="24"/>
        </w:rPr>
        <w:t>Specialty</w:t>
      </w:r>
      <w:r w:rsidR="00DF1DD2" w:rsidRPr="006B336B">
        <w:rPr>
          <w:rFonts w:cs="Arial"/>
          <w:b/>
          <w:bCs/>
          <w:sz w:val="24"/>
          <w:szCs w:val="24"/>
        </w:rPr>
        <w:t xml:space="preserve">” </w:t>
      </w:r>
      <w:r w:rsidR="00725984" w:rsidRPr="006B336B">
        <w:rPr>
          <w:rFonts w:cs="Arial"/>
          <w:b/>
          <w:bCs/>
          <w:sz w:val="24"/>
          <w:szCs w:val="24"/>
        </w:rPr>
        <w:t>field those specialties for which the physician</w:t>
      </w:r>
      <w:r w:rsidR="00725984" w:rsidRPr="00725984">
        <w:rPr>
          <w:rFonts w:cs="Arial"/>
          <w:b/>
          <w:bCs/>
          <w:sz w:val="24"/>
          <w:szCs w:val="24"/>
        </w:rPr>
        <w:t xml:space="preserve"> is board certified</w:t>
      </w:r>
      <w:r w:rsidR="00725984">
        <w:rPr>
          <w:rFonts w:cs="Arial"/>
          <w:b/>
          <w:bCs/>
          <w:sz w:val="24"/>
          <w:szCs w:val="24"/>
        </w:rPr>
        <w:t>?</w:t>
      </w:r>
    </w:p>
    <w:p w14:paraId="275DC1B5" w14:textId="77777777" w:rsidR="00725984" w:rsidRPr="00725984" w:rsidRDefault="00725984" w:rsidP="00772D69">
      <w:pPr>
        <w:pStyle w:val="ListParagraph"/>
        <w:spacing w:before="240" w:after="240"/>
        <w:contextualSpacing w:val="0"/>
        <w:rPr>
          <w:rFonts w:ascii="Arial" w:hAnsi="Arial" w:cs="Arial"/>
          <w:sz w:val="24"/>
          <w:szCs w:val="24"/>
        </w:rPr>
      </w:pPr>
      <w:r w:rsidRPr="00725984">
        <w:rPr>
          <w:rFonts w:ascii="Arial" w:hAnsi="Arial" w:cs="Arial"/>
          <w:sz w:val="24"/>
          <w:szCs w:val="24"/>
        </w:rPr>
        <w:t>A plan must report a physician</w:t>
      </w:r>
      <w:r w:rsidR="00DF1DD2">
        <w:rPr>
          <w:rFonts w:ascii="Arial" w:hAnsi="Arial" w:cs="Arial"/>
          <w:sz w:val="24"/>
          <w:szCs w:val="24"/>
        </w:rPr>
        <w:t>’</w:t>
      </w:r>
      <w:r w:rsidRPr="00725984">
        <w:rPr>
          <w:rFonts w:ascii="Arial" w:hAnsi="Arial" w:cs="Arial"/>
          <w:sz w:val="24"/>
          <w:szCs w:val="24"/>
        </w:rPr>
        <w:t>s specialty based on how the physician has been credentialed by the plan. This may be based on board certification</w:t>
      </w:r>
      <w:r w:rsidR="006B336B">
        <w:rPr>
          <w:rFonts w:ascii="Arial" w:hAnsi="Arial" w:cs="Arial"/>
          <w:sz w:val="24"/>
          <w:szCs w:val="24"/>
        </w:rPr>
        <w:t xml:space="preserve"> when applicable; and when not applicable, it shall be consistent with required education, experience and</w:t>
      </w:r>
      <w:r w:rsidRPr="00725984">
        <w:rPr>
          <w:rFonts w:ascii="Arial" w:hAnsi="Arial" w:cs="Arial"/>
          <w:sz w:val="24"/>
          <w:szCs w:val="24"/>
        </w:rPr>
        <w:t xml:space="preserve"> training </w:t>
      </w:r>
      <w:r w:rsidR="00F63691">
        <w:rPr>
          <w:rFonts w:ascii="Arial" w:hAnsi="Arial" w:cs="Arial"/>
          <w:sz w:val="24"/>
          <w:szCs w:val="24"/>
        </w:rPr>
        <w:t>and subject to the Plan’s quality assurance program</w:t>
      </w:r>
      <w:r w:rsidRPr="00725984">
        <w:rPr>
          <w:rFonts w:ascii="Arial" w:hAnsi="Arial" w:cs="Arial"/>
          <w:sz w:val="24"/>
          <w:szCs w:val="24"/>
        </w:rPr>
        <w:t xml:space="preserve">. </w:t>
      </w:r>
      <w:r w:rsidR="00F63691">
        <w:rPr>
          <w:rFonts w:ascii="Arial" w:hAnsi="Arial" w:cs="Arial"/>
          <w:sz w:val="24"/>
          <w:szCs w:val="24"/>
        </w:rPr>
        <w:t>Health p</w:t>
      </w:r>
      <w:r w:rsidRPr="00725984">
        <w:rPr>
          <w:rFonts w:ascii="Arial" w:hAnsi="Arial" w:cs="Arial"/>
          <w:sz w:val="24"/>
          <w:szCs w:val="24"/>
        </w:rPr>
        <w:t xml:space="preserve">lans are required to report physician specialties in accordance </w:t>
      </w:r>
      <w:r w:rsidR="00DF1DD2" w:rsidRPr="00725984">
        <w:rPr>
          <w:rFonts w:ascii="Arial" w:hAnsi="Arial" w:cs="Arial"/>
          <w:sz w:val="24"/>
          <w:szCs w:val="24"/>
        </w:rPr>
        <w:t>with</w:t>
      </w:r>
      <w:r w:rsidRPr="00725984">
        <w:rPr>
          <w:rFonts w:ascii="Arial" w:hAnsi="Arial" w:cs="Arial"/>
          <w:sz w:val="24"/>
          <w:szCs w:val="24"/>
        </w:rPr>
        <w:t xml:space="preserve"> the standardized terminology provided by the </w:t>
      </w:r>
      <w:r w:rsidR="007A0184">
        <w:rPr>
          <w:rFonts w:ascii="Arial" w:hAnsi="Arial" w:cs="Arial"/>
          <w:sz w:val="24"/>
          <w:szCs w:val="24"/>
        </w:rPr>
        <w:t>DMHC</w:t>
      </w:r>
      <w:r w:rsidRPr="00725984">
        <w:rPr>
          <w:rFonts w:ascii="Arial" w:hAnsi="Arial" w:cs="Arial"/>
          <w:sz w:val="24"/>
          <w:szCs w:val="24"/>
        </w:rPr>
        <w:t xml:space="preserve"> in the Appendix B of the Instruction Manual. That terminology is based on the specialty terminology established by the American Board of Medical Specialties for the purposes of administering board certification</w:t>
      </w:r>
      <w:r w:rsidR="00DF1DD2">
        <w:rPr>
          <w:rFonts w:ascii="Arial" w:hAnsi="Arial" w:cs="Arial"/>
          <w:sz w:val="24"/>
          <w:szCs w:val="24"/>
        </w:rPr>
        <w:t>.</w:t>
      </w:r>
    </w:p>
    <w:sectPr w:rsidR="00725984" w:rsidRPr="00725984" w:rsidSect="004F6CD8">
      <w:head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354D9" w14:textId="77777777" w:rsidR="008D1D25" w:rsidRDefault="008D1D25">
      <w:r>
        <w:separator/>
      </w:r>
    </w:p>
  </w:endnote>
  <w:endnote w:type="continuationSeparator" w:id="0">
    <w:p w14:paraId="4F10E1DC" w14:textId="77777777" w:rsidR="008D1D25" w:rsidRDefault="008D1D25">
      <w:r>
        <w:continuationSeparator/>
      </w:r>
    </w:p>
  </w:endnote>
  <w:endnote w:type="continuationNotice" w:id="1">
    <w:p w14:paraId="33CD8282" w14:textId="77777777" w:rsidR="008D1D25" w:rsidRDefault="008D1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A551" w14:textId="77777777" w:rsidR="00417DCF" w:rsidRPr="008F3EBF" w:rsidRDefault="00417DCF" w:rsidP="00417DCF">
    <w:pPr>
      <w:pStyle w:val="Footer"/>
      <w:jc w:val="center"/>
      <w:rPr>
        <w:rFonts w:ascii="Arial" w:hAnsi="Arial" w:cs="Arial"/>
        <w:b/>
        <w:i/>
        <w:color w:val="12539F"/>
        <w:sz w:val="24"/>
      </w:rPr>
    </w:pPr>
    <w:r w:rsidRPr="008F3EBF">
      <w:rPr>
        <w:rFonts w:ascii="Arial" w:hAnsi="Arial" w:cs="Arial"/>
        <w:b/>
        <w:i/>
        <w:color w:val="12539F"/>
        <w:sz w:val="24"/>
      </w:rPr>
      <w:t>Protecting the Health Care Rights of More Than 2</w:t>
    </w:r>
    <w:r w:rsidR="002A36EC">
      <w:rPr>
        <w:rFonts w:ascii="Arial" w:hAnsi="Arial" w:cs="Arial"/>
        <w:b/>
        <w:i/>
        <w:color w:val="12539F"/>
        <w:sz w:val="24"/>
      </w:rPr>
      <w:t>9</w:t>
    </w:r>
    <w:r w:rsidR="00781BE3">
      <w:rPr>
        <w:rFonts w:ascii="Arial" w:hAnsi="Arial" w:cs="Arial"/>
        <w:b/>
        <w:i/>
        <w:color w:val="12539F"/>
        <w:sz w:val="24"/>
      </w:rPr>
      <w:t>.</w:t>
    </w:r>
    <w:r w:rsidR="00110F69">
      <w:rPr>
        <w:rFonts w:ascii="Arial" w:hAnsi="Arial" w:cs="Arial"/>
        <w:b/>
        <w:i/>
        <w:color w:val="12539F"/>
        <w:sz w:val="24"/>
      </w:rPr>
      <w:t>8</w:t>
    </w:r>
    <w:r w:rsidRPr="008F3EBF">
      <w:rPr>
        <w:rFonts w:ascii="Arial" w:hAnsi="Arial" w:cs="Arial"/>
        <w:b/>
        <w:i/>
        <w:color w:val="12539F"/>
        <w:sz w:val="24"/>
      </w:rPr>
      <w:t xml:space="preserve"> Million Californians</w:t>
    </w:r>
  </w:p>
  <w:p w14:paraId="6924FB86" w14:textId="70DC720A" w:rsidR="00570F54" w:rsidRPr="008F3EBF" w:rsidRDefault="00570F54" w:rsidP="00417DCF">
    <w:pPr>
      <w:pStyle w:val="Footer"/>
      <w:jc w:val="center"/>
      <w:rPr>
        <w:rFonts w:ascii="Arial" w:hAnsi="Arial" w:cs="Arial"/>
        <w:i/>
        <w:color w:val="034EA2"/>
        <w:sz w:val="24"/>
      </w:rPr>
    </w:pPr>
    <w:r w:rsidRPr="008F3EBF">
      <w:rPr>
        <w:rFonts w:ascii="Arial" w:hAnsi="Arial" w:cs="Arial"/>
        <w:i/>
        <w:color w:val="12539F"/>
        <w:sz w:val="24"/>
      </w:rPr>
      <w:t>Contact the DMHC Help Center at 1-888-466-2219 or</w:t>
    </w:r>
    <w:r w:rsidR="00544389">
      <w:rPr>
        <w:rFonts w:ascii="Arial" w:hAnsi="Arial" w:cs="Arial"/>
        <w:i/>
        <w:color w:val="12539F"/>
        <w:sz w:val="24"/>
      </w:rPr>
      <w:t xml:space="preserve"> </w:t>
    </w:r>
    <w:hyperlink r:id="rId1" w:history="1">
      <w:r w:rsidR="00110F69" w:rsidRPr="00926960">
        <w:rPr>
          <w:rFonts w:ascii="Arial" w:hAnsi="Arial" w:cs="Arial"/>
          <w:iCs/>
          <w:color w:val="12539F"/>
          <w:sz w:val="24"/>
          <w:szCs w:val="24"/>
        </w:rPr>
        <w:t>www.DMHC.ca.gov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CFA52" w14:textId="77777777" w:rsidR="008D1D25" w:rsidRDefault="008D1D25">
      <w:r>
        <w:separator/>
      </w:r>
    </w:p>
  </w:footnote>
  <w:footnote w:type="continuationSeparator" w:id="0">
    <w:p w14:paraId="0A71356F" w14:textId="77777777" w:rsidR="008D1D25" w:rsidRDefault="008D1D25">
      <w:r>
        <w:continuationSeparator/>
      </w:r>
    </w:p>
  </w:footnote>
  <w:footnote w:type="continuationNotice" w:id="1">
    <w:p w14:paraId="2412CA03" w14:textId="77777777" w:rsidR="008D1D25" w:rsidRDefault="008D1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82184" w14:textId="77777777" w:rsidR="00EF1032" w:rsidRPr="002B50CC" w:rsidRDefault="006E41CA">
    <w:pPr>
      <w:pStyle w:val="Header"/>
      <w:tabs>
        <w:tab w:val="clear" w:pos="8640"/>
        <w:tab w:val="left" w:pos="8010"/>
      </w:tabs>
      <w:rPr>
        <w:rFonts w:ascii="Arial" w:hAnsi="Arial" w:cs="Arial"/>
        <w:sz w:val="24"/>
      </w:rPr>
    </w:pPr>
    <w:r w:rsidRPr="00FC3D50">
      <w:rPr>
        <w:rFonts w:ascii="Arial" w:hAnsi="Arial" w:cs="Arial"/>
        <w:sz w:val="24"/>
        <w:szCs w:val="24"/>
      </w:rPr>
      <w:t>Frequently Asked Questions (FAQ)</w:t>
    </w:r>
    <w:r w:rsidR="00EF1032" w:rsidRPr="002B50CC">
      <w:rPr>
        <w:rFonts w:ascii="Arial" w:hAnsi="Arial" w:cs="Arial"/>
        <w:sz w:val="24"/>
      </w:rPr>
      <w:tab/>
    </w:r>
    <w:r w:rsidR="00AB6124">
      <w:rPr>
        <w:rFonts w:ascii="Arial" w:hAnsi="Arial" w:cs="Arial"/>
        <w:sz w:val="24"/>
      </w:rPr>
      <w:t xml:space="preserve">                                                        </w:t>
    </w:r>
    <w:r w:rsidR="00AB6124" w:rsidRPr="003255F9">
      <w:rPr>
        <w:rFonts w:ascii="Arial" w:hAnsi="Arial" w:cs="Arial"/>
        <w:sz w:val="24"/>
      </w:rPr>
      <w:t>October 30, 2024</w:t>
    </w:r>
  </w:p>
  <w:p w14:paraId="1AFAB3C6" w14:textId="05C66527" w:rsidR="00EF1032" w:rsidRPr="002B50CC" w:rsidRDefault="006E41CA">
    <w:pPr>
      <w:pStyle w:val="Header"/>
      <w:tabs>
        <w:tab w:val="left" w:pos="8010"/>
        <w:tab w:val="left" w:pos="9360"/>
      </w:tabs>
      <w:rPr>
        <w:rFonts w:ascii="Arial" w:hAnsi="Arial" w:cs="Arial"/>
        <w:sz w:val="24"/>
      </w:rPr>
    </w:pPr>
    <w:r w:rsidRPr="00FC3D50">
      <w:rPr>
        <w:rFonts w:ascii="Arial" w:hAnsi="Arial" w:cs="Arial"/>
        <w:sz w:val="24"/>
        <w:szCs w:val="24"/>
      </w:rPr>
      <w:t>APL 2</w:t>
    </w:r>
    <w:r w:rsidR="00EB7D9C">
      <w:rPr>
        <w:rFonts w:ascii="Arial" w:hAnsi="Arial" w:cs="Arial"/>
        <w:sz w:val="24"/>
        <w:szCs w:val="24"/>
      </w:rPr>
      <w:t>4</w:t>
    </w:r>
    <w:r w:rsidR="00585CC6" w:rsidRPr="00FC3D50">
      <w:rPr>
        <w:rFonts w:ascii="Arial" w:hAnsi="Arial" w:cs="Arial"/>
        <w:sz w:val="24"/>
        <w:szCs w:val="24"/>
      </w:rPr>
      <w:t>-</w:t>
    </w:r>
    <w:r w:rsidR="00B400D4">
      <w:rPr>
        <w:rFonts w:ascii="Arial" w:hAnsi="Arial" w:cs="Arial"/>
        <w:sz w:val="24"/>
        <w:szCs w:val="24"/>
      </w:rPr>
      <w:t>019</w:t>
    </w:r>
    <w:r w:rsidR="00EF1032" w:rsidRPr="002B50CC">
      <w:rPr>
        <w:rFonts w:ascii="Arial" w:hAnsi="Arial" w:cs="Arial"/>
        <w:sz w:val="24"/>
      </w:rPr>
      <w:tab/>
    </w:r>
    <w:r w:rsidR="00EF1032" w:rsidRPr="002B50CC">
      <w:rPr>
        <w:rFonts w:ascii="Arial" w:hAnsi="Arial" w:cs="Arial"/>
        <w:sz w:val="24"/>
      </w:rPr>
      <w:tab/>
    </w:r>
    <w:r w:rsidR="00AB6124">
      <w:rPr>
        <w:rFonts w:ascii="Arial" w:hAnsi="Arial" w:cs="Arial"/>
        <w:sz w:val="24"/>
      </w:rPr>
      <w:t xml:space="preserve">        </w:t>
    </w:r>
    <w:r w:rsidR="00EF1032" w:rsidRPr="002B50CC">
      <w:rPr>
        <w:rFonts w:ascii="Arial" w:hAnsi="Arial" w:cs="Arial"/>
        <w:sz w:val="24"/>
      </w:rPr>
      <w:t>Pag</w:t>
    </w:r>
    <w:r w:rsidR="00AB6124">
      <w:rPr>
        <w:rFonts w:ascii="Arial" w:hAnsi="Arial" w:cs="Arial"/>
        <w:sz w:val="24"/>
      </w:rPr>
      <w:t>e</w:t>
    </w:r>
    <w:r w:rsidR="00EE24E8">
      <w:rPr>
        <w:rFonts w:ascii="Arial" w:hAnsi="Arial" w:cs="Arial"/>
        <w:sz w:val="24"/>
      </w:rPr>
      <w:t xml:space="preserve"> </w:t>
    </w:r>
    <w:r w:rsidR="00EF1032" w:rsidRPr="002B50CC">
      <w:rPr>
        <w:rFonts w:ascii="Arial" w:hAnsi="Arial" w:cs="Arial"/>
        <w:sz w:val="24"/>
      </w:rPr>
      <w:fldChar w:fldCharType="begin"/>
    </w:r>
    <w:r w:rsidR="00EF1032" w:rsidRPr="002B50CC">
      <w:rPr>
        <w:rFonts w:ascii="Arial" w:hAnsi="Arial" w:cs="Arial"/>
        <w:sz w:val="24"/>
      </w:rPr>
      <w:instrText xml:space="preserve"> PAGE </w:instrText>
    </w:r>
    <w:r w:rsidR="00EF1032" w:rsidRPr="002B50CC">
      <w:rPr>
        <w:rFonts w:ascii="Arial" w:hAnsi="Arial" w:cs="Arial"/>
        <w:sz w:val="24"/>
      </w:rPr>
      <w:fldChar w:fldCharType="separate"/>
    </w:r>
    <w:r w:rsidR="00D367E9">
      <w:rPr>
        <w:rFonts w:ascii="Arial" w:hAnsi="Arial" w:cs="Arial"/>
        <w:noProof/>
        <w:sz w:val="24"/>
      </w:rPr>
      <w:t>2</w:t>
    </w:r>
    <w:r w:rsidR="00EF1032" w:rsidRPr="002B50CC">
      <w:rPr>
        <w:rFonts w:ascii="Arial" w:hAnsi="Arial" w:cs="Arial"/>
        <w:sz w:val="24"/>
      </w:rPr>
      <w:fldChar w:fldCharType="end"/>
    </w:r>
  </w:p>
  <w:p w14:paraId="1ECF7F36" w14:textId="77777777" w:rsidR="00EF1032" w:rsidRDefault="006E41CA">
    <w:pPr>
      <w:pStyle w:val="Header"/>
      <w:rPr>
        <w:rFonts w:ascii="Arial" w:hAnsi="Arial" w:cs="Arial"/>
        <w:sz w:val="24"/>
        <w:szCs w:val="24"/>
      </w:rPr>
    </w:pPr>
    <w:r w:rsidRPr="00FC3D50">
      <w:rPr>
        <w:rFonts w:ascii="Arial" w:hAnsi="Arial" w:cs="Arial"/>
        <w:sz w:val="24"/>
        <w:szCs w:val="24"/>
      </w:rPr>
      <w:t>Amendments to Rule 1300.</w:t>
    </w:r>
    <w:r>
      <w:rPr>
        <w:rFonts w:ascii="Arial" w:hAnsi="Arial" w:cs="Arial"/>
        <w:sz w:val="24"/>
        <w:szCs w:val="24"/>
      </w:rPr>
      <w:t>67.2.2 and</w:t>
    </w:r>
  </w:p>
  <w:p w14:paraId="194FEAA6" w14:textId="77777777" w:rsidR="006E41CA" w:rsidRPr="002B50CC" w:rsidRDefault="006E41CA" w:rsidP="00A7330C">
    <w:pPr>
      <w:pStyle w:val="Header"/>
      <w:spacing w:after="480"/>
      <w:rPr>
        <w:rFonts w:ascii="Arial" w:hAnsi="Arial" w:cs="Arial"/>
      </w:rPr>
    </w:pPr>
    <w:r>
      <w:rPr>
        <w:rFonts w:ascii="Arial" w:hAnsi="Arial" w:cs="Arial"/>
        <w:sz w:val="24"/>
        <w:szCs w:val="24"/>
      </w:rPr>
      <w:t>Incorporated Documents</w:t>
    </w:r>
    <w:r w:rsidR="00585CC6">
      <w:rPr>
        <w:rFonts w:ascii="Arial" w:hAnsi="Arial" w:cs="Arial"/>
        <w:sz w:val="24"/>
        <w:szCs w:val="24"/>
      </w:rPr>
      <w:t xml:space="preserve"> for RY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2EC0" w14:textId="5FAAD94E" w:rsidR="008F3EBF" w:rsidRDefault="009402B5">
    <w:pPr>
      <w:pStyle w:val="Header"/>
    </w:pPr>
    <w:r>
      <w:rPr>
        <w:noProof/>
      </w:rPr>
      <w:drawing>
        <wp:anchor distT="0" distB="0" distL="114300" distR="114300" simplePos="0" relativeHeight="251658241" behindDoc="0" locked="0" layoutInCell="1" allowOverlap="1" wp14:anchorId="17DA76D2" wp14:editId="4750C940">
          <wp:simplePos x="0" y="0"/>
          <wp:positionH relativeFrom="margin">
            <wp:posOffset>-352425</wp:posOffset>
          </wp:positionH>
          <wp:positionV relativeFrom="margin">
            <wp:posOffset>-321945</wp:posOffset>
          </wp:positionV>
          <wp:extent cx="2876550" cy="1027430"/>
          <wp:effectExtent l="0" t="0" r="0" b="0"/>
          <wp:wrapSquare wrapText="bothSides"/>
          <wp:docPr id="1228426405" name="Picture 2" descr="DM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DMH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30D189A" wp14:editId="256BCD74">
              <wp:simplePos x="0" y="0"/>
              <wp:positionH relativeFrom="column">
                <wp:posOffset>2734945</wp:posOffset>
              </wp:positionH>
              <wp:positionV relativeFrom="paragraph">
                <wp:posOffset>-114300</wp:posOffset>
              </wp:positionV>
              <wp:extent cx="3697605" cy="15259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152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59C45" w14:textId="77777777" w:rsidR="008F3EBF" w:rsidRPr="004D5EAF" w:rsidRDefault="00ED37A9" w:rsidP="008F3EBF">
                          <w:pPr>
                            <w:jc w:val="right"/>
                            <w:rPr>
                              <w:rFonts w:ascii="Arial" w:hAnsi="Arial" w:cs="Arial"/>
                              <w:color w:val="12539F"/>
                              <w:sz w:val="24"/>
                              <w:szCs w:val="16"/>
                            </w:rPr>
                          </w:pPr>
                          <w:r>
                            <w:rPr>
                              <w:rFonts w:ascii="Arial" w:hAnsi="Arial" w:cs="Arial"/>
                              <w:color w:val="12539F"/>
                              <w:sz w:val="24"/>
                              <w:szCs w:val="16"/>
                            </w:rPr>
                            <w:t>Gavin Newsom</w:t>
                          </w:r>
                          <w:r w:rsidR="008F3EBF" w:rsidRPr="004D5EAF">
                            <w:rPr>
                              <w:rFonts w:ascii="Arial" w:hAnsi="Arial" w:cs="Arial"/>
                              <w:color w:val="12539F"/>
                              <w:sz w:val="24"/>
                              <w:szCs w:val="16"/>
                            </w:rPr>
                            <w:t>, Governor</w:t>
                          </w:r>
                        </w:p>
                        <w:p w14:paraId="72F8D21D" w14:textId="77777777" w:rsidR="008F3EBF" w:rsidRPr="004D5EAF" w:rsidRDefault="008F3EBF" w:rsidP="008F3EBF">
                          <w:pPr>
                            <w:jc w:val="right"/>
                            <w:rPr>
                              <w:rFonts w:ascii="Arial" w:hAnsi="Arial" w:cs="Arial"/>
                              <w:color w:val="12539F"/>
                              <w:sz w:val="24"/>
                              <w:szCs w:val="16"/>
                            </w:rPr>
                          </w:pPr>
                          <w:r w:rsidRPr="004D5EAF">
                            <w:rPr>
                              <w:rFonts w:ascii="Arial" w:hAnsi="Arial" w:cs="Arial"/>
                              <w:color w:val="12539F"/>
                              <w:sz w:val="24"/>
                              <w:szCs w:val="16"/>
                            </w:rPr>
                            <w:t>State of California</w:t>
                          </w:r>
                        </w:p>
                        <w:p w14:paraId="4EA19493" w14:textId="77777777" w:rsidR="008F3EBF" w:rsidRPr="004D5EAF" w:rsidRDefault="008F3EBF" w:rsidP="008F3EBF">
                          <w:pPr>
                            <w:jc w:val="right"/>
                            <w:rPr>
                              <w:rFonts w:ascii="Arial" w:hAnsi="Arial" w:cs="Arial"/>
                              <w:color w:val="12539F"/>
                              <w:sz w:val="24"/>
                              <w:szCs w:val="16"/>
                            </w:rPr>
                          </w:pPr>
                          <w:r w:rsidRPr="004D5EAF">
                            <w:rPr>
                              <w:rFonts w:ascii="Arial" w:hAnsi="Arial" w:cs="Arial"/>
                              <w:color w:val="12539F"/>
                              <w:sz w:val="24"/>
                              <w:szCs w:val="16"/>
                            </w:rPr>
                            <w:t>Health and Human Services Agency</w:t>
                          </w:r>
                        </w:p>
                        <w:p w14:paraId="27CDB6ED" w14:textId="77777777" w:rsidR="008F3EBF" w:rsidRPr="008F3EBF" w:rsidRDefault="008F3EBF" w:rsidP="008F3EBF">
                          <w:pPr>
                            <w:jc w:val="right"/>
                            <w:rPr>
                              <w:rFonts w:ascii="Arial" w:hAnsi="Arial" w:cs="Arial"/>
                              <w:b/>
                              <w:bCs/>
                              <w:color w:val="12539F"/>
                              <w:sz w:val="24"/>
                            </w:rPr>
                          </w:pPr>
                          <w:r w:rsidRPr="008F3EBF">
                            <w:rPr>
                              <w:rFonts w:ascii="Arial" w:hAnsi="Arial" w:cs="Arial"/>
                              <w:b/>
                              <w:bCs/>
                              <w:color w:val="12539F"/>
                              <w:sz w:val="24"/>
                            </w:rPr>
                            <w:t>DEPARTMENT OF MANAGED HEALTH CARE</w:t>
                          </w:r>
                        </w:p>
                        <w:p w14:paraId="19EF6EAD" w14:textId="77777777" w:rsidR="008F3EBF" w:rsidRPr="008F3EBF" w:rsidRDefault="008F3EBF" w:rsidP="008F3EBF">
                          <w:pPr>
                            <w:jc w:val="right"/>
                            <w:rPr>
                              <w:rFonts w:ascii="Arial" w:hAnsi="Arial" w:cs="Arial"/>
                              <w:b/>
                              <w:color w:val="12539F"/>
                              <w:sz w:val="24"/>
                            </w:rPr>
                          </w:pPr>
                          <w:r w:rsidRPr="008F3EBF">
                            <w:rPr>
                              <w:rFonts w:ascii="Arial" w:hAnsi="Arial" w:cs="Arial"/>
                              <w:b/>
                              <w:color w:val="12539F"/>
                              <w:sz w:val="24"/>
                            </w:rPr>
                            <w:t>980 9</w:t>
                          </w:r>
                          <w:r w:rsidRPr="008F3EBF">
                            <w:rPr>
                              <w:rFonts w:ascii="Arial" w:hAnsi="Arial" w:cs="Arial"/>
                              <w:b/>
                              <w:color w:val="12539F"/>
                              <w:sz w:val="24"/>
                              <w:vertAlign w:val="superscript"/>
                            </w:rPr>
                            <w:t>th</w:t>
                          </w:r>
                          <w:r w:rsidRPr="008F3EBF">
                            <w:rPr>
                              <w:rFonts w:ascii="Arial" w:hAnsi="Arial" w:cs="Arial"/>
                              <w:b/>
                              <w:color w:val="12539F"/>
                              <w:sz w:val="24"/>
                            </w:rPr>
                            <w:t xml:space="preserve"> Street, Suite 500 </w:t>
                          </w:r>
                          <w:r w:rsidRPr="008F3EBF">
                            <w:rPr>
                              <w:rFonts w:ascii="Arial" w:hAnsi="Arial" w:cs="Arial"/>
                              <w:b/>
                              <w:color w:val="12539F"/>
                              <w:sz w:val="24"/>
                            </w:rPr>
                            <w:br/>
                            <w:t>Sacramento, CA 95814</w:t>
                          </w:r>
                        </w:p>
                        <w:p w14:paraId="1175AEC1" w14:textId="77777777" w:rsidR="008F3EBF" w:rsidRPr="008F3EBF" w:rsidRDefault="008F3EBF" w:rsidP="008F3EBF">
                          <w:pPr>
                            <w:jc w:val="right"/>
                            <w:rPr>
                              <w:rFonts w:ascii="Arial" w:hAnsi="Arial" w:cs="Arial"/>
                              <w:b/>
                              <w:color w:val="12539F"/>
                              <w:sz w:val="24"/>
                            </w:rPr>
                          </w:pPr>
                          <w:r w:rsidRPr="008F3EBF">
                            <w:rPr>
                              <w:rFonts w:ascii="Arial" w:hAnsi="Arial" w:cs="Arial"/>
                              <w:b/>
                              <w:color w:val="12539F"/>
                              <w:sz w:val="24"/>
                            </w:rPr>
                            <w:t>Pho</w:t>
                          </w:r>
                          <w:r w:rsidR="002C29D2">
                            <w:rPr>
                              <w:rFonts w:ascii="Arial" w:hAnsi="Arial" w:cs="Arial"/>
                              <w:b/>
                              <w:color w:val="12539F"/>
                              <w:sz w:val="24"/>
                            </w:rPr>
                            <w:t>ne: 916-</w:t>
                          </w:r>
                          <w:r w:rsidR="009F4F95">
                            <w:rPr>
                              <w:rFonts w:ascii="Arial" w:hAnsi="Arial" w:cs="Arial"/>
                              <w:b/>
                              <w:color w:val="12539F"/>
                              <w:sz w:val="24"/>
                            </w:rPr>
                            <w:t>324-8176 | Fax: 916-</w:t>
                          </w:r>
                          <w:r w:rsidRPr="008F3EBF">
                            <w:rPr>
                              <w:rFonts w:ascii="Arial" w:hAnsi="Arial" w:cs="Arial"/>
                              <w:b/>
                              <w:color w:val="12539F"/>
                              <w:sz w:val="24"/>
                            </w:rPr>
                            <w:t>255-5241</w:t>
                          </w:r>
                        </w:p>
                        <w:p w14:paraId="6ABDD5A9" w14:textId="7B599198" w:rsidR="00102623" w:rsidRPr="00926960" w:rsidRDefault="00926960" w:rsidP="00343215">
                          <w:pPr>
                            <w:ind w:right="105"/>
                            <w:jc w:val="right"/>
                            <w:rPr>
                              <w:rFonts w:ascii="Arial" w:hAnsi="Arial" w:cs="Arial"/>
                              <w:b/>
                              <w:sz w:val="24"/>
                              <w:szCs w:val="24"/>
                            </w:rPr>
                          </w:pPr>
                          <w:hyperlink r:id="rId2">
                            <w:r w:rsidRPr="00926960">
                              <w:rPr>
                                <w:rFonts w:ascii="Arial" w:hAnsi="Arial" w:cs="Arial"/>
                                <w:b/>
                                <w:color w:val="208639"/>
                                <w:spacing w:val="-2"/>
                                <w:sz w:val="24"/>
                                <w:szCs w:val="24"/>
                              </w:rPr>
                              <w:t>www.DMHC.ca.gov</w:t>
                            </w:r>
                          </w:hyperlink>
                          <w:r w:rsidR="001A3C61">
                            <w:rPr>
                              <w:rFonts w:ascii="Arial" w:hAnsi="Arial" w:cs="Arial"/>
                              <w:b/>
                              <w:color w:val="208639"/>
                              <w:spacing w:val="-2"/>
                              <w:sz w:val="24"/>
                              <w:szCs w:val="24"/>
                            </w:rPr>
                            <w:tab/>
                          </w:r>
                        </w:p>
                        <w:p w14:paraId="0FBAB367" w14:textId="06F2C7CB" w:rsidR="008F3EBF" w:rsidRDefault="008F3EBF" w:rsidP="008F3EB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D189A" id="_x0000_t202" coordsize="21600,21600" o:spt="202" path="m,l,21600r21600,l21600,xe">
              <v:stroke joinstyle="miter"/>
              <v:path gradientshapeok="t" o:connecttype="rect"/>
            </v:shapetype>
            <v:shape id="Text Box 3" o:spid="_x0000_s1026" type="#_x0000_t202" style="position:absolute;margin-left:215.35pt;margin-top:-9pt;width:291.15pt;height:1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" filled="f" stroked="f">
              <v:textbox>
                <w:txbxContent>
                  <w:p w14:paraId="18759C45" w14:textId="77777777" w:rsidR="008F3EBF" w:rsidRPr="004D5EAF" w:rsidRDefault="00ED37A9" w:rsidP="008F3EBF">
                    <w:pPr>
                      <w:jc w:val="right"/>
                      <w:rPr>
                        <w:rFonts w:ascii="Arial" w:hAnsi="Arial" w:cs="Arial"/>
                        <w:color w:val="12539F"/>
                        <w:sz w:val="24"/>
                        <w:szCs w:val="16"/>
                      </w:rPr>
                    </w:pPr>
                    <w:r>
                      <w:rPr>
                        <w:rFonts w:ascii="Arial" w:hAnsi="Arial" w:cs="Arial"/>
                        <w:color w:val="12539F"/>
                        <w:sz w:val="24"/>
                        <w:szCs w:val="16"/>
                      </w:rPr>
                      <w:t>Gavin Newsom</w:t>
                    </w:r>
                    <w:r w:rsidR="008F3EBF" w:rsidRPr="004D5EAF">
                      <w:rPr>
                        <w:rFonts w:ascii="Arial" w:hAnsi="Arial" w:cs="Arial"/>
                        <w:color w:val="12539F"/>
                        <w:sz w:val="24"/>
                        <w:szCs w:val="16"/>
                      </w:rPr>
                      <w:t>, Governor</w:t>
                    </w:r>
                  </w:p>
                  <w:p w14:paraId="72F8D21D" w14:textId="77777777" w:rsidR="008F3EBF" w:rsidRPr="004D5EAF" w:rsidRDefault="008F3EBF" w:rsidP="008F3EBF">
                    <w:pPr>
                      <w:jc w:val="right"/>
                      <w:rPr>
                        <w:rFonts w:ascii="Arial" w:hAnsi="Arial" w:cs="Arial"/>
                        <w:color w:val="12539F"/>
                        <w:sz w:val="24"/>
                        <w:szCs w:val="16"/>
                      </w:rPr>
                    </w:pPr>
                    <w:r w:rsidRPr="004D5EAF">
                      <w:rPr>
                        <w:rFonts w:ascii="Arial" w:hAnsi="Arial" w:cs="Arial"/>
                        <w:color w:val="12539F"/>
                        <w:sz w:val="24"/>
                        <w:szCs w:val="16"/>
                      </w:rPr>
                      <w:t>State of California</w:t>
                    </w:r>
                  </w:p>
                  <w:p w14:paraId="4EA19493" w14:textId="77777777" w:rsidR="008F3EBF" w:rsidRPr="004D5EAF" w:rsidRDefault="008F3EBF" w:rsidP="008F3EBF">
                    <w:pPr>
                      <w:jc w:val="right"/>
                      <w:rPr>
                        <w:rFonts w:ascii="Arial" w:hAnsi="Arial" w:cs="Arial"/>
                        <w:color w:val="12539F"/>
                        <w:sz w:val="24"/>
                        <w:szCs w:val="16"/>
                      </w:rPr>
                    </w:pPr>
                    <w:r w:rsidRPr="004D5EAF">
                      <w:rPr>
                        <w:rFonts w:ascii="Arial" w:hAnsi="Arial" w:cs="Arial"/>
                        <w:color w:val="12539F"/>
                        <w:sz w:val="24"/>
                        <w:szCs w:val="16"/>
                      </w:rPr>
                      <w:t>Health and Human Services Agency</w:t>
                    </w:r>
                  </w:p>
                  <w:p w14:paraId="27CDB6ED" w14:textId="77777777" w:rsidR="008F3EBF" w:rsidRPr="008F3EBF" w:rsidRDefault="008F3EBF" w:rsidP="008F3EBF">
                    <w:pPr>
                      <w:jc w:val="right"/>
                      <w:rPr>
                        <w:rFonts w:ascii="Arial" w:hAnsi="Arial" w:cs="Arial"/>
                        <w:b/>
                        <w:bCs/>
                        <w:color w:val="12539F"/>
                        <w:sz w:val="24"/>
                      </w:rPr>
                    </w:pPr>
                    <w:r w:rsidRPr="008F3EBF">
                      <w:rPr>
                        <w:rFonts w:ascii="Arial" w:hAnsi="Arial" w:cs="Arial"/>
                        <w:b/>
                        <w:bCs/>
                        <w:color w:val="12539F"/>
                        <w:sz w:val="24"/>
                      </w:rPr>
                      <w:t>DEPARTMENT OF MANAGED HEALTH CARE</w:t>
                    </w:r>
                  </w:p>
                  <w:p w14:paraId="19EF6EAD" w14:textId="77777777" w:rsidR="008F3EBF" w:rsidRPr="008F3EBF" w:rsidRDefault="008F3EBF" w:rsidP="008F3EBF">
                    <w:pPr>
                      <w:jc w:val="right"/>
                      <w:rPr>
                        <w:rFonts w:ascii="Arial" w:hAnsi="Arial" w:cs="Arial"/>
                        <w:b/>
                        <w:color w:val="12539F"/>
                        <w:sz w:val="24"/>
                      </w:rPr>
                    </w:pPr>
                    <w:r w:rsidRPr="008F3EBF">
                      <w:rPr>
                        <w:rFonts w:ascii="Arial" w:hAnsi="Arial" w:cs="Arial"/>
                        <w:b/>
                        <w:color w:val="12539F"/>
                        <w:sz w:val="24"/>
                      </w:rPr>
                      <w:t>980 9</w:t>
                    </w:r>
                    <w:r w:rsidRPr="008F3EBF">
                      <w:rPr>
                        <w:rFonts w:ascii="Arial" w:hAnsi="Arial" w:cs="Arial"/>
                        <w:b/>
                        <w:color w:val="12539F"/>
                        <w:sz w:val="24"/>
                        <w:vertAlign w:val="superscript"/>
                      </w:rPr>
                      <w:t>th</w:t>
                    </w:r>
                    <w:r w:rsidRPr="008F3EBF">
                      <w:rPr>
                        <w:rFonts w:ascii="Arial" w:hAnsi="Arial" w:cs="Arial"/>
                        <w:b/>
                        <w:color w:val="12539F"/>
                        <w:sz w:val="24"/>
                      </w:rPr>
                      <w:t xml:space="preserve"> Street, Suite 500 </w:t>
                    </w:r>
                    <w:r w:rsidRPr="008F3EBF">
                      <w:rPr>
                        <w:rFonts w:ascii="Arial" w:hAnsi="Arial" w:cs="Arial"/>
                        <w:b/>
                        <w:color w:val="12539F"/>
                        <w:sz w:val="24"/>
                      </w:rPr>
                      <w:br/>
                      <w:t>Sacramento, CA 95814</w:t>
                    </w:r>
                  </w:p>
                  <w:p w14:paraId="1175AEC1" w14:textId="77777777" w:rsidR="008F3EBF" w:rsidRPr="008F3EBF" w:rsidRDefault="008F3EBF" w:rsidP="008F3EBF">
                    <w:pPr>
                      <w:jc w:val="right"/>
                      <w:rPr>
                        <w:rFonts w:ascii="Arial" w:hAnsi="Arial" w:cs="Arial"/>
                        <w:b/>
                        <w:color w:val="12539F"/>
                        <w:sz w:val="24"/>
                      </w:rPr>
                    </w:pPr>
                    <w:r w:rsidRPr="008F3EBF">
                      <w:rPr>
                        <w:rFonts w:ascii="Arial" w:hAnsi="Arial" w:cs="Arial"/>
                        <w:b/>
                        <w:color w:val="12539F"/>
                        <w:sz w:val="24"/>
                      </w:rPr>
                      <w:t>Pho</w:t>
                    </w:r>
                    <w:r w:rsidR="002C29D2">
                      <w:rPr>
                        <w:rFonts w:ascii="Arial" w:hAnsi="Arial" w:cs="Arial"/>
                        <w:b/>
                        <w:color w:val="12539F"/>
                        <w:sz w:val="24"/>
                      </w:rPr>
                      <w:t>ne: 916-</w:t>
                    </w:r>
                    <w:r w:rsidR="009F4F95">
                      <w:rPr>
                        <w:rFonts w:ascii="Arial" w:hAnsi="Arial" w:cs="Arial"/>
                        <w:b/>
                        <w:color w:val="12539F"/>
                        <w:sz w:val="24"/>
                      </w:rPr>
                      <w:t>324-8176 | Fax: 916-</w:t>
                    </w:r>
                    <w:r w:rsidRPr="008F3EBF">
                      <w:rPr>
                        <w:rFonts w:ascii="Arial" w:hAnsi="Arial" w:cs="Arial"/>
                        <w:b/>
                        <w:color w:val="12539F"/>
                        <w:sz w:val="24"/>
                      </w:rPr>
                      <w:t>255-5241</w:t>
                    </w:r>
                  </w:p>
                  <w:p w14:paraId="6ABDD5A9" w14:textId="7B599198" w:rsidR="00102623" w:rsidRPr="00926960" w:rsidRDefault="00926960" w:rsidP="00343215">
                    <w:pPr>
                      <w:ind w:right="105"/>
                      <w:jc w:val="right"/>
                      <w:rPr>
                        <w:rFonts w:ascii="Arial" w:hAnsi="Arial" w:cs="Arial"/>
                        <w:b/>
                        <w:sz w:val="24"/>
                        <w:szCs w:val="24"/>
                      </w:rPr>
                    </w:pPr>
                    <w:hyperlink r:id="rId3">
                      <w:r w:rsidRPr="00926960">
                        <w:rPr>
                          <w:rFonts w:ascii="Arial" w:hAnsi="Arial" w:cs="Arial"/>
                          <w:b/>
                          <w:color w:val="208639"/>
                          <w:spacing w:val="-2"/>
                          <w:sz w:val="24"/>
                          <w:szCs w:val="24"/>
                        </w:rPr>
                        <w:t>www.DMHC.ca.gov</w:t>
                      </w:r>
                    </w:hyperlink>
                    <w:r w:rsidR="001A3C61">
                      <w:rPr>
                        <w:rFonts w:ascii="Arial" w:hAnsi="Arial" w:cs="Arial"/>
                        <w:b/>
                        <w:color w:val="208639"/>
                        <w:spacing w:val="-2"/>
                        <w:sz w:val="24"/>
                        <w:szCs w:val="24"/>
                      </w:rPr>
                      <w:tab/>
                    </w:r>
                  </w:p>
                  <w:p w14:paraId="0FBAB367" w14:textId="06F2C7CB" w:rsidR="008F3EBF" w:rsidRDefault="008F3EBF" w:rsidP="008F3EBF">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multilevel"/>
    <w:tmpl w:val="9D705994"/>
    <w:styleLink w:val="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AF60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14F5D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5002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FF01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805BE4"/>
    <w:multiLevelType w:val="hybridMultilevel"/>
    <w:tmpl w:val="BDB445A4"/>
    <w:lvl w:ilvl="0" w:tplc="102822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D63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F97FEB"/>
    <w:multiLevelType w:val="hybridMultilevel"/>
    <w:tmpl w:val="79342F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D52A7"/>
    <w:multiLevelType w:val="hybridMultilevel"/>
    <w:tmpl w:val="3C920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3E690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DE8578D"/>
    <w:multiLevelType w:val="hybridMultilevel"/>
    <w:tmpl w:val="BDB445A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0B087B"/>
    <w:multiLevelType w:val="hybridMultilevel"/>
    <w:tmpl w:val="93D830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93A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B80B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42D4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102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BF3E4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E1A7149"/>
    <w:multiLevelType w:val="hybridMultilevel"/>
    <w:tmpl w:val="1C6A8C2C"/>
    <w:lvl w:ilvl="0" w:tplc="F1805296">
      <w:start w:val="1"/>
      <w:numFmt w:val="upperRoman"/>
      <w:pStyle w:val="AccessibleHead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4622DF"/>
    <w:multiLevelType w:val="hybridMultilevel"/>
    <w:tmpl w:val="CC30E31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225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BD5479"/>
    <w:multiLevelType w:val="singleLevel"/>
    <w:tmpl w:val="BF8846E4"/>
    <w:lvl w:ilvl="0">
      <w:start w:val="1"/>
      <w:numFmt w:val="decimal"/>
      <w:lvlText w:val="%1."/>
      <w:lvlJc w:val="left"/>
      <w:pPr>
        <w:tabs>
          <w:tab w:val="num" w:pos="720"/>
        </w:tabs>
        <w:ind w:left="720" w:hanging="720"/>
      </w:pPr>
      <w:rPr>
        <w:rFonts w:hint="default"/>
      </w:rPr>
    </w:lvl>
  </w:abstractNum>
  <w:abstractNum w:abstractNumId="21" w15:restartNumberingAfterBreak="0">
    <w:nsid w:val="654D09DD"/>
    <w:multiLevelType w:val="hybridMultilevel"/>
    <w:tmpl w:val="A2F8AC56"/>
    <w:lvl w:ilvl="0" w:tplc="13A63EF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6340EE"/>
    <w:multiLevelType w:val="multilevel"/>
    <w:tmpl w:val="9D705994"/>
    <w:numStyleLink w:val="LIST1"/>
  </w:abstractNum>
  <w:abstractNum w:abstractNumId="23" w15:restartNumberingAfterBreak="0">
    <w:nsid w:val="6F125AD8"/>
    <w:multiLevelType w:val="hybridMultilevel"/>
    <w:tmpl w:val="CC30E31E"/>
    <w:lvl w:ilvl="0" w:tplc="16262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5251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7E6E1C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77971362">
    <w:abstractNumId w:val="20"/>
  </w:num>
  <w:num w:numId="2" w16cid:durableId="685206648">
    <w:abstractNumId w:val="1"/>
  </w:num>
  <w:num w:numId="3" w16cid:durableId="2091927945">
    <w:abstractNumId w:val="13"/>
  </w:num>
  <w:num w:numId="4" w16cid:durableId="1621452019">
    <w:abstractNumId w:val="9"/>
  </w:num>
  <w:num w:numId="5" w16cid:durableId="92097574">
    <w:abstractNumId w:val="24"/>
  </w:num>
  <w:num w:numId="6" w16cid:durableId="310058981">
    <w:abstractNumId w:val="16"/>
  </w:num>
  <w:num w:numId="7" w16cid:durableId="1506632694">
    <w:abstractNumId w:val="14"/>
  </w:num>
  <w:num w:numId="8" w16cid:durableId="506747604">
    <w:abstractNumId w:val="6"/>
  </w:num>
  <w:num w:numId="9" w16cid:durableId="1234387752">
    <w:abstractNumId w:val="2"/>
  </w:num>
  <w:num w:numId="10" w16cid:durableId="689256049">
    <w:abstractNumId w:val="3"/>
  </w:num>
  <w:num w:numId="11" w16cid:durableId="1517379988">
    <w:abstractNumId w:val="25"/>
  </w:num>
  <w:num w:numId="12" w16cid:durableId="757218588">
    <w:abstractNumId w:val="4"/>
  </w:num>
  <w:num w:numId="13" w16cid:durableId="497888949">
    <w:abstractNumId w:val="15"/>
  </w:num>
  <w:num w:numId="14" w16cid:durableId="529532926">
    <w:abstractNumId w:val="12"/>
  </w:num>
  <w:num w:numId="15" w16cid:durableId="1378434975">
    <w:abstractNumId w:val="19"/>
  </w:num>
  <w:num w:numId="16" w16cid:durableId="1858613587">
    <w:abstractNumId w:val="17"/>
  </w:num>
  <w:num w:numId="17" w16cid:durableId="1865358338">
    <w:abstractNumId w:val="23"/>
  </w:num>
  <w:num w:numId="18" w16cid:durableId="661930910">
    <w:abstractNumId w:val="11"/>
  </w:num>
  <w:num w:numId="19" w16cid:durableId="875433382">
    <w:abstractNumId w:val="18"/>
  </w:num>
  <w:num w:numId="20" w16cid:durableId="1278100667">
    <w:abstractNumId w:val="7"/>
  </w:num>
  <w:num w:numId="21" w16cid:durableId="194781866">
    <w:abstractNumId w:val="5"/>
  </w:num>
  <w:num w:numId="22" w16cid:durableId="192503392">
    <w:abstractNumId w:val="21"/>
  </w:num>
  <w:num w:numId="23" w16cid:durableId="1705054704">
    <w:abstractNumId w:val="8"/>
  </w:num>
  <w:num w:numId="24" w16cid:durableId="1343438707">
    <w:abstractNumId w:val="0"/>
  </w:num>
  <w:num w:numId="25" w16cid:durableId="1868642370">
    <w:abstractNumId w:val="22"/>
  </w:num>
  <w:num w:numId="26" w16cid:durableId="53429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l7cXblUUw1jMXprPT2NsmgJX2HCwtILG+vSb3VAx0NhdTf4DjLwKZYjWhTZ8IMmPHsEFqOBD6MW2wWIjjKaJw==" w:salt="XPd/xB1CswjAgtjE6JaM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0D"/>
    <w:rsid w:val="0000244E"/>
    <w:rsid w:val="00011BDE"/>
    <w:rsid w:val="00017561"/>
    <w:rsid w:val="0003133F"/>
    <w:rsid w:val="000379D6"/>
    <w:rsid w:val="00046B63"/>
    <w:rsid w:val="0005172D"/>
    <w:rsid w:val="00052D7A"/>
    <w:rsid w:val="000550A4"/>
    <w:rsid w:val="000560F7"/>
    <w:rsid w:val="000923B8"/>
    <w:rsid w:val="000A309F"/>
    <w:rsid w:val="000A4ACF"/>
    <w:rsid w:val="000A7433"/>
    <w:rsid w:val="000C3FAF"/>
    <w:rsid w:val="000C6C42"/>
    <w:rsid w:val="000D1D85"/>
    <w:rsid w:val="000D3CE2"/>
    <w:rsid w:val="000E5996"/>
    <w:rsid w:val="000E7E31"/>
    <w:rsid w:val="000F158B"/>
    <w:rsid w:val="000F4FF0"/>
    <w:rsid w:val="000F76D6"/>
    <w:rsid w:val="00102623"/>
    <w:rsid w:val="00110F69"/>
    <w:rsid w:val="00123A9B"/>
    <w:rsid w:val="001261EC"/>
    <w:rsid w:val="00127DF7"/>
    <w:rsid w:val="00127EFF"/>
    <w:rsid w:val="001476FA"/>
    <w:rsid w:val="001554C1"/>
    <w:rsid w:val="001555F6"/>
    <w:rsid w:val="0015730B"/>
    <w:rsid w:val="00167564"/>
    <w:rsid w:val="001720B8"/>
    <w:rsid w:val="00173C50"/>
    <w:rsid w:val="00174BF4"/>
    <w:rsid w:val="001A3C61"/>
    <w:rsid w:val="001C1555"/>
    <w:rsid w:val="001C582B"/>
    <w:rsid w:val="001D3B01"/>
    <w:rsid w:val="001D612C"/>
    <w:rsid w:val="001D7B9A"/>
    <w:rsid w:val="001E2D38"/>
    <w:rsid w:val="001E3CB4"/>
    <w:rsid w:val="001E3F91"/>
    <w:rsid w:val="00205D9A"/>
    <w:rsid w:val="002143BF"/>
    <w:rsid w:val="002305B3"/>
    <w:rsid w:val="002467FA"/>
    <w:rsid w:val="00253968"/>
    <w:rsid w:val="002619D6"/>
    <w:rsid w:val="00261E30"/>
    <w:rsid w:val="002A2883"/>
    <w:rsid w:val="002A327D"/>
    <w:rsid w:val="002A36EC"/>
    <w:rsid w:val="002B2AAA"/>
    <w:rsid w:val="002B50CC"/>
    <w:rsid w:val="002B55DE"/>
    <w:rsid w:val="002B59E2"/>
    <w:rsid w:val="002B75FE"/>
    <w:rsid w:val="002C29D2"/>
    <w:rsid w:val="002D55AB"/>
    <w:rsid w:val="002D71D4"/>
    <w:rsid w:val="002E3215"/>
    <w:rsid w:val="002F61AF"/>
    <w:rsid w:val="00303332"/>
    <w:rsid w:val="0030471A"/>
    <w:rsid w:val="00310788"/>
    <w:rsid w:val="00312EBA"/>
    <w:rsid w:val="003174C3"/>
    <w:rsid w:val="00322845"/>
    <w:rsid w:val="003238EE"/>
    <w:rsid w:val="003255F9"/>
    <w:rsid w:val="00333CE0"/>
    <w:rsid w:val="00343215"/>
    <w:rsid w:val="00345BD4"/>
    <w:rsid w:val="00347F18"/>
    <w:rsid w:val="00364BEC"/>
    <w:rsid w:val="00365557"/>
    <w:rsid w:val="00365BA5"/>
    <w:rsid w:val="00380531"/>
    <w:rsid w:val="00386B63"/>
    <w:rsid w:val="003A175A"/>
    <w:rsid w:val="003A4F22"/>
    <w:rsid w:val="003B0687"/>
    <w:rsid w:val="003B49F0"/>
    <w:rsid w:val="003D4872"/>
    <w:rsid w:val="003F75C5"/>
    <w:rsid w:val="004077BE"/>
    <w:rsid w:val="00417DCF"/>
    <w:rsid w:val="00420A49"/>
    <w:rsid w:val="00421BEF"/>
    <w:rsid w:val="00422545"/>
    <w:rsid w:val="0042333E"/>
    <w:rsid w:val="00423DD7"/>
    <w:rsid w:val="00436C4F"/>
    <w:rsid w:val="00446501"/>
    <w:rsid w:val="004518EB"/>
    <w:rsid w:val="00476E9C"/>
    <w:rsid w:val="00477B0E"/>
    <w:rsid w:val="00477E8E"/>
    <w:rsid w:val="00481854"/>
    <w:rsid w:val="0049361D"/>
    <w:rsid w:val="00495366"/>
    <w:rsid w:val="004A6057"/>
    <w:rsid w:val="004B5DC5"/>
    <w:rsid w:val="004C14D0"/>
    <w:rsid w:val="004C6573"/>
    <w:rsid w:val="004D5EAF"/>
    <w:rsid w:val="004F1DC0"/>
    <w:rsid w:val="004F6CD8"/>
    <w:rsid w:val="005117C4"/>
    <w:rsid w:val="00517773"/>
    <w:rsid w:val="00517C7D"/>
    <w:rsid w:val="005250A0"/>
    <w:rsid w:val="00535897"/>
    <w:rsid w:val="005409D5"/>
    <w:rsid w:val="00544389"/>
    <w:rsid w:val="00544973"/>
    <w:rsid w:val="00562E63"/>
    <w:rsid w:val="00570F54"/>
    <w:rsid w:val="00573B71"/>
    <w:rsid w:val="00576AF8"/>
    <w:rsid w:val="00583EC9"/>
    <w:rsid w:val="00585CC6"/>
    <w:rsid w:val="005B40A7"/>
    <w:rsid w:val="005B52D4"/>
    <w:rsid w:val="005D7E0F"/>
    <w:rsid w:val="005F2B4E"/>
    <w:rsid w:val="00603F05"/>
    <w:rsid w:val="00605F0D"/>
    <w:rsid w:val="00607044"/>
    <w:rsid w:val="00624070"/>
    <w:rsid w:val="0064166B"/>
    <w:rsid w:val="00645FAD"/>
    <w:rsid w:val="00670BD2"/>
    <w:rsid w:val="00674360"/>
    <w:rsid w:val="00680030"/>
    <w:rsid w:val="00682193"/>
    <w:rsid w:val="0068796F"/>
    <w:rsid w:val="006939E4"/>
    <w:rsid w:val="00694981"/>
    <w:rsid w:val="006965BB"/>
    <w:rsid w:val="006A4D21"/>
    <w:rsid w:val="006B0E0D"/>
    <w:rsid w:val="006B336B"/>
    <w:rsid w:val="006C118A"/>
    <w:rsid w:val="006C32D6"/>
    <w:rsid w:val="006D0482"/>
    <w:rsid w:val="006D06CA"/>
    <w:rsid w:val="006D37C8"/>
    <w:rsid w:val="006D4815"/>
    <w:rsid w:val="006E41CA"/>
    <w:rsid w:val="007011CC"/>
    <w:rsid w:val="007034E7"/>
    <w:rsid w:val="0070577D"/>
    <w:rsid w:val="00714CD1"/>
    <w:rsid w:val="00720550"/>
    <w:rsid w:val="00725984"/>
    <w:rsid w:val="007279BF"/>
    <w:rsid w:val="00744965"/>
    <w:rsid w:val="00756663"/>
    <w:rsid w:val="007664E7"/>
    <w:rsid w:val="007727C4"/>
    <w:rsid w:val="00772D69"/>
    <w:rsid w:val="00781BE3"/>
    <w:rsid w:val="007834BC"/>
    <w:rsid w:val="00793154"/>
    <w:rsid w:val="007A0184"/>
    <w:rsid w:val="007A6F6F"/>
    <w:rsid w:val="007C37A0"/>
    <w:rsid w:val="007D6482"/>
    <w:rsid w:val="007F4174"/>
    <w:rsid w:val="007F439A"/>
    <w:rsid w:val="007F622A"/>
    <w:rsid w:val="00822EB4"/>
    <w:rsid w:val="00823764"/>
    <w:rsid w:val="00824832"/>
    <w:rsid w:val="008349C2"/>
    <w:rsid w:val="00846C93"/>
    <w:rsid w:val="00850076"/>
    <w:rsid w:val="008506B0"/>
    <w:rsid w:val="00852B08"/>
    <w:rsid w:val="00866845"/>
    <w:rsid w:val="0087304D"/>
    <w:rsid w:val="00894696"/>
    <w:rsid w:val="008A5EBA"/>
    <w:rsid w:val="008B324B"/>
    <w:rsid w:val="008B5E3F"/>
    <w:rsid w:val="008B7249"/>
    <w:rsid w:val="008D1D25"/>
    <w:rsid w:val="008D425B"/>
    <w:rsid w:val="008F3EBF"/>
    <w:rsid w:val="0091398D"/>
    <w:rsid w:val="00920526"/>
    <w:rsid w:val="00926960"/>
    <w:rsid w:val="00930363"/>
    <w:rsid w:val="009402B5"/>
    <w:rsid w:val="0094343E"/>
    <w:rsid w:val="009436A2"/>
    <w:rsid w:val="00950A57"/>
    <w:rsid w:val="00956FC2"/>
    <w:rsid w:val="00960A2D"/>
    <w:rsid w:val="0096626B"/>
    <w:rsid w:val="009714F0"/>
    <w:rsid w:val="009779DA"/>
    <w:rsid w:val="009825D8"/>
    <w:rsid w:val="009A6BC5"/>
    <w:rsid w:val="009C04BB"/>
    <w:rsid w:val="009C5B7A"/>
    <w:rsid w:val="009D491D"/>
    <w:rsid w:val="009E175D"/>
    <w:rsid w:val="009E6780"/>
    <w:rsid w:val="009F4F95"/>
    <w:rsid w:val="009F7A05"/>
    <w:rsid w:val="00A06D85"/>
    <w:rsid w:val="00A10F25"/>
    <w:rsid w:val="00A135D2"/>
    <w:rsid w:val="00A21AFF"/>
    <w:rsid w:val="00A21D98"/>
    <w:rsid w:val="00A27134"/>
    <w:rsid w:val="00A72E9C"/>
    <w:rsid w:val="00A7330C"/>
    <w:rsid w:val="00AB0DF8"/>
    <w:rsid w:val="00AB6124"/>
    <w:rsid w:val="00AD3185"/>
    <w:rsid w:val="00AD4A79"/>
    <w:rsid w:val="00AF449C"/>
    <w:rsid w:val="00B06FCC"/>
    <w:rsid w:val="00B1642F"/>
    <w:rsid w:val="00B20D1C"/>
    <w:rsid w:val="00B400D4"/>
    <w:rsid w:val="00B42BCC"/>
    <w:rsid w:val="00B43451"/>
    <w:rsid w:val="00B51720"/>
    <w:rsid w:val="00B536C2"/>
    <w:rsid w:val="00B67820"/>
    <w:rsid w:val="00B75EAB"/>
    <w:rsid w:val="00B827AD"/>
    <w:rsid w:val="00B933F3"/>
    <w:rsid w:val="00B95D6B"/>
    <w:rsid w:val="00B967C1"/>
    <w:rsid w:val="00BA1A79"/>
    <w:rsid w:val="00BB098D"/>
    <w:rsid w:val="00BB7600"/>
    <w:rsid w:val="00BB766E"/>
    <w:rsid w:val="00BD256F"/>
    <w:rsid w:val="00BD2DD0"/>
    <w:rsid w:val="00BD6872"/>
    <w:rsid w:val="00BE1DD6"/>
    <w:rsid w:val="00BF60BB"/>
    <w:rsid w:val="00C02F2E"/>
    <w:rsid w:val="00C048DA"/>
    <w:rsid w:val="00C11229"/>
    <w:rsid w:val="00C11DAE"/>
    <w:rsid w:val="00C17CFD"/>
    <w:rsid w:val="00C41A0C"/>
    <w:rsid w:val="00C51931"/>
    <w:rsid w:val="00C54E9F"/>
    <w:rsid w:val="00C55377"/>
    <w:rsid w:val="00C65713"/>
    <w:rsid w:val="00C93E32"/>
    <w:rsid w:val="00CB5EBF"/>
    <w:rsid w:val="00CC6C8F"/>
    <w:rsid w:val="00CD0AAF"/>
    <w:rsid w:val="00CD23F3"/>
    <w:rsid w:val="00CD6042"/>
    <w:rsid w:val="00CD7255"/>
    <w:rsid w:val="00CF39E8"/>
    <w:rsid w:val="00D04A9A"/>
    <w:rsid w:val="00D06A83"/>
    <w:rsid w:val="00D11FA0"/>
    <w:rsid w:val="00D25D6B"/>
    <w:rsid w:val="00D367E9"/>
    <w:rsid w:val="00D409C8"/>
    <w:rsid w:val="00D4465D"/>
    <w:rsid w:val="00D75B7F"/>
    <w:rsid w:val="00D7767D"/>
    <w:rsid w:val="00D80720"/>
    <w:rsid w:val="00D90C68"/>
    <w:rsid w:val="00D91EBA"/>
    <w:rsid w:val="00DA7114"/>
    <w:rsid w:val="00DB26C1"/>
    <w:rsid w:val="00DB75A8"/>
    <w:rsid w:val="00DC0162"/>
    <w:rsid w:val="00DC16B9"/>
    <w:rsid w:val="00DC5127"/>
    <w:rsid w:val="00DC611D"/>
    <w:rsid w:val="00DD4227"/>
    <w:rsid w:val="00DD71A4"/>
    <w:rsid w:val="00DE27B3"/>
    <w:rsid w:val="00DE422E"/>
    <w:rsid w:val="00DF1800"/>
    <w:rsid w:val="00DF1DD2"/>
    <w:rsid w:val="00E04C15"/>
    <w:rsid w:val="00E06B3A"/>
    <w:rsid w:val="00E10C89"/>
    <w:rsid w:val="00E20C23"/>
    <w:rsid w:val="00E255C1"/>
    <w:rsid w:val="00E32955"/>
    <w:rsid w:val="00E34DF2"/>
    <w:rsid w:val="00E377C9"/>
    <w:rsid w:val="00E6108A"/>
    <w:rsid w:val="00E63E4A"/>
    <w:rsid w:val="00E64DD4"/>
    <w:rsid w:val="00E65A81"/>
    <w:rsid w:val="00E71C72"/>
    <w:rsid w:val="00E727D9"/>
    <w:rsid w:val="00E92D10"/>
    <w:rsid w:val="00EA03B1"/>
    <w:rsid w:val="00EA061C"/>
    <w:rsid w:val="00EB2902"/>
    <w:rsid w:val="00EB2F59"/>
    <w:rsid w:val="00EB7D9C"/>
    <w:rsid w:val="00ED1DC8"/>
    <w:rsid w:val="00ED37A9"/>
    <w:rsid w:val="00EE24E8"/>
    <w:rsid w:val="00EE68C6"/>
    <w:rsid w:val="00EF1032"/>
    <w:rsid w:val="00EF4961"/>
    <w:rsid w:val="00EF74D3"/>
    <w:rsid w:val="00F13694"/>
    <w:rsid w:val="00F469E5"/>
    <w:rsid w:val="00F562EE"/>
    <w:rsid w:val="00F63691"/>
    <w:rsid w:val="00F64B38"/>
    <w:rsid w:val="00F66452"/>
    <w:rsid w:val="00F72C75"/>
    <w:rsid w:val="00F74536"/>
    <w:rsid w:val="00F84CEE"/>
    <w:rsid w:val="00F92D70"/>
    <w:rsid w:val="00FA7AF6"/>
    <w:rsid w:val="00FB0E1F"/>
    <w:rsid w:val="00FB3944"/>
    <w:rsid w:val="00FC01DA"/>
    <w:rsid w:val="00FC0E88"/>
    <w:rsid w:val="00FC33B1"/>
    <w:rsid w:val="00FC7A73"/>
    <w:rsid w:val="00FD4E24"/>
    <w:rsid w:val="00FF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DD8B4"/>
  <w15:chartTrackingRefBased/>
  <w15:docId w15:val="{305A07D4-9F77-42AA-8C1E-2823390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20" w:hanging="630"/>
      <w:jc w:val="cente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righ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hanging="630"/>
    </w:pPr>
    <w:rPr>
      <w:sz w:val="24"/>
    </w:rPr>
  </w:style>
  <w:style w:type="paragraph" w:styleId="BodyTextIndent2">
    <w:name w:val="Body Text Indent 2"/>
    <w:basedOn w:val="Normal"/>
    <w:pPr>
      <w:ind w:left="90"/>
    </w:pPr>
    <w:rPr>
      <w:sz w:val="24"/>
    </w:rPr>
  </w:style>
  <w:style w:type="paragraph" w:customStyle="1" w:styleId="CompanyName">
    <w:name w:val="Company Name"/>
    <w:basedOn w:val="Normal"/>
    <w:pPr>
      <w:framePr w:w="3845" w:h="1584" w:hSpace="187" w:vSpace="187" w:wrap="notBeside" w:vAnchor="page" w:hAnchor="margin" w:y="894" w:anchorLock="1"/>
      <w:spacing w:line="280" w:lineRule="atLeast"/>
      <w:jc w:val="both"/>
    </w:pPr>
    <w:rPr>
      <w:rFonts w:ascii="Arial Black" w:hAnsi="Arial Black"/>
      <w:spacing w:val="-25"/>
      <w:sz w:val="32"/>
    </w:rPr>
  </w:style>
  <w:style w:type="paragraph" w:styleId="Date">
    <w:name w:val="Date"/>
    <w:basedOn w:val="Normal"/>
    <w:next w:val="InsideAddressName"/>
    <w:pPr>
      <w:spacing w:after="220" w:line="220" w:lineRule="atLeast"/>
      <w:jc w:val="both"/>
    </w:pPr>
    <w:rPr>
      <w:rFonts w:ascii="Arial" w:hAnsi="Arial"/>
      <w:spacing w:val="-5"/>
    </w:rPr>
  </w:style>
  <w:style w:type="paragraph" w:customStyle="1" w:styleId="InsideAddressName">
    <w:name w:val="Inside Address Name"/>
    <w:basedOn w:val="Normal"/>
    <w:next w:val="Normal"/>
    <w:pPr>
      <w:spacing w:before="220" w:line="220" w:lineRule="atLeast"/>
      <w:jc w:val="both"/>
    </w:pPr>
    <w:rPr>
      <w:rFonts w:ascii="Arial" w:hAnsi="Arial"/>
      <w:spacing w:val="-5"/>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rPr>
  </w:style>
  <w:style w:type="paragraph" w:customStyle="1" w:styleId="SignatureJobTitle">
    <w:name w:val="Signature Job Title"/>
    <w:basedOn w:val="Signature"/>
    <w:next w:val="Normal"/>
    <w:pPr>
      <w:keepNext/>
      <w:spacing w:line="220" w:lineRule="atLeast"/>
      <w:ind w:left="0"/>
    </w:pPr>
    <w:rPr>
      <w:rFonts w:ascii="Arial" w:hAnsi="Arial"/>
      <w:spacing w:val="-5"/>
    </w:rPr>
  </w:style>
  <w:style w:type="paragraph" w:styleId="Signature">
    <w:name w:val="Signature"/>
    <w:basedOn w:val="Normal"/>
    <w:pPr>
      <w:ind w:left="432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FollowedHyperlink">
    <w:name w:val="FollowedHyperlink"/>
    <w:rPr>
      <w:color w:val="800080"/>
      <w:u w:val="single"/>
    </w:rPr>
  </w:style>
  <w:style w:type="paragraph" w:styleId="Salutation">
    <w:name w:val="Salutation"/>
    <w:basedOn w:val="Normal"/>
    <w:next w:val="Normal"/>
    <w:pPr>
      <w:spacing w:before="220" w:after="220" w:line="220" w:lineRule="atLeast"/>
    </w:pPr>
    <w:rPr>
      <w:rFonts w:ascii="Arial" w:hAnsi="Arial"/>
      <w:spacing w:val="-5"/>
    </w:rPr>
  </w:style>
  <w:style w:type="paragraph" w:styleId="Closing">
    <w:name w:val="Closing"/>
    <w:basedOn w:val="Normal"/>
    <w:next w:val="Signature"/>
    <w:pPr>
      <w:keepNext/>
      <w:spacing w:after="60" w:line="220" w:lineRule="atLeast"/>
      <w:jc w:val="both"/>
    </w:pPr>
    <w:rPr>
      <w:rFonts w:ascii="Arial" w:hAnsi="Arial"/>
      <w:spacing w:val="-5"/>
    </w:rPr>
  </w:style>
  <w:style w:type="paragraph" w:customStyle="1" w:styleId="CcList">
    <w:name w:val="Cc List"/>
    <w:basedOn w:val="Normal"/>
    <w:pPr>
      <w:keepLines/>
      <w:spacing w:line="220" w:lineRule="atLeast"/>
      <w:ind w:left="360" w:hanging="360"/>
      <w:jc w:val="both"/>
    </w:pPr>
    <w:rPr>
      <w:rFonts w:ascii="Arial" w:hAnsi="Arial"/>
      <w:spacing w:val="-5"/>
    </w:rPr>
  </w:style>
  <w:style w:type="character" w:customStyle="1" w:styleId="FooterChar">
    <w:name w:val="Footer Char"/>
    <w:link w:val="Footer"/>
    <w:rsid w:val="008F3EBF"/>
  </w:style>
  <w:style w:type="character" w:styleId="UnresolvedMention">
    <w:name w:val="Unresolved Mention"/>
    <w:uiPriority w:val="99"/>
    <w:semiHidden/>
    <w:unhideWhenUsed/>
    <w:rsid w:val="00110F69"/>
    <w:rPr>
      <w:color w:val="605E5C"/>
      <w:shd w:val="clear" w:color="auto" w:fill="E1DFDD"/>
    </w:rPr>
  </w:style>
  <w:style w:type="paragraph" w:styleId="ListParagraph">
    <w:name w:val="List Paragraph"/>
    <w:basedOn w:val="Normal"/>
    <w:link w:val="ListParagraphChar"/>
    <w:uiPriority w:val="34"/>
    <w:qFormat/>
    <w:rsid w:val="006E41CA"/>
    <w:pPr>
      <w:spacing w:after="160" w:line="259" w:lineRule="auto"/>
      <w:ind w:left="720"/>
      <w:contextualSpacing/>
    </w:pPr>
    <w:rPr>
      <w:rFonts w:ascii="Aptos" w:eastAsia="Aptos" w:hAnsi="Aptos"/>
      <w:kern w:val="2"/>
      <w:sz w:val="22"/>
      <w:szCs w:val="22"/>
    </w:rPr>
  </w:style>
  <w:style w:type="paragraph" w:customStyle="1" w:styleId="AccessibleHeader">
    <w:name w:val="Accessible Header"/>
    <w:basedOn w:val="Heading1"/>
    <w:link w:val="AccessibleHeaderChar"/>
    <w:qFormat/>
    <w:rsid w:val="006E41CA"/>
    <w:pPr>
      <w:keepLines/>
      <w:numPr>
        <w:numId w:val="16"/>
      </w:numPr>
      <w:spacing w:before="240" w:after="240" w:line="259" w:lineRule="auto"/>
      <w:jc w:val="left"/>
    </w:pPr>
    <w:rPr>
      <w:rFonts w:ascii="Arial" w:hAnsi="Arial" w:cs="Arial"/>
      <w:b/>
      <w:bCs/>
      <w:kern w:val="2"/>
      <w:sz w:val="28"/>
      <w:szCs w:val="28"/>
    </w:rPr>
  </w:style>
  <w:style w:type="character" w:customStyle="1" w:styleId="ListParagraphChar">
    <w:name w:val="List Paragraph Char"/>
    <w:link w:val="ListParagraph"/>
    <w:uiPriority w:val="34"/>
    <w:rsid w:val="006E41CA"/>
    <w:rPr>
      <w:rFonts w:ascii="Aptos" w:eastAsia="Aptos" w:hAnsi="Aptos"/>
      <w:kern w:val="2"/>
      <w:sz w:val="22"/>
      <w:szCs w:val="22"/>
    </w:rPr>
  </w:style>
  <w:style w:type="character" w:customStyle="1" w:styleId="AccessibleHeaderChar">
    <w:name w:val="Accessible Header Char"/>
    <w:link w:val="AccessibleHeader"/>
    <w:rsid w:val="006E41CA"/>
    <w:rPr>
      <w:rFonts w:ascii="Arial" w:hAnsi="Arial" w:cs="Arial"/>
      <w:b/>
      <w:bCs/>
      <w:kern w:val="2"/>
      <w:sz w:val="28"/>
      <w:szCs w:val="28"/>
    </w:rPr>
  </w:style>
  <w:style w:type="character" w:styleId="CommentReference">
    <w:name w:val="annotation reference"/>
    <w:uiPriority w:val="99"/>
    <w:unhideWhenUsed/>
    <w:rsid w:val="006E41CA"/>
    <w:rPr>
      <w:sz w:val="16"/>
      <w:szCs w:val="16"/>
    </w:rPr>
  </w:style>
  <w:style w:type="paragraph" w:styleId="CommentText">
    <w:name w:val="annotation text"/>
    <w:basedOn w:val="Normal"/>
    <w:link w:val="CommentTextChar"/>
    <w:uiPriority w:val="99"/>
    <w:unhideWhenUsed/>
    <w:rsid w:val="006E41CA"/>
    <w:pPr>
      <w:spacing w:after="160"/>
    </w:pPr>
    <w:rPr>
      <w:rFonts w:ascii="Aptos" w:eastAsia="Aptos" w:hAnsi="Aptos"/>
      <w:kern w:val="2"/>
    </w:rPr>
  </w:style>
  <w:style w:type="character" w:customStyle="1" w:styleId="CommentTextChar">
    <w:name w:val="Comment Text Char"/>
    <w:link w:val="CommentText"/>
    <w:uiPriority w:val="99"/>
    <w:rsid w:val="006E41CA"/>
    <w:rPr>
      <w:rFonts w:ascii="Aptos" w:eastAsia="Aptos" w:hAnsi="Aptos"/>
      <w:kern w:val="2"/>
    </w:rPr>
  </w:style>
  <w:style w:type="paragraph" w:styleId="CommentSubject">
    <w:name w:val="annotation subject"/>
    <w:basedOn w:val="CommentText"/>
    <w:next w:val="CommentText"/>
    <w:link w:val="CommentSubjectChar"/>
    <w:rsid w:val="00DF1DD2"/>
    <w:pPr>
      <w:spacing w:after="0"/>
    </w:pPr>
    <w:rPr>
      <w:rFonts w:ascii="Times New Roman" w:eastAsia="Times New Roman" w:hAnsi="Times New Roman"/>
      <w:b/>
      <w:bCs/>
      <w:kern w:val="0"/>
    </w:rPr>
  </w:style>
  <w:style w:type="character" w:customStyle="1" w:styleId="CommentSubjectChar">
    <w:name w:val="Comment Subject Char"/>
    <w:link w:val="CommentSubject"/>
    <w:rsid w:val="00DF1DD2"/>
    <w:rPr>
      <w:rFonts w:ascii="Aptos" w:eastAsia="Aptos" w:hAnsi="Aptos"/>
      <w:b/>
      <w:bCs/>
      <w:kern w:val="2"/>
    </w:rPr>
  </w:style>
  <w:style w:type="paragraph" w:styleId="Revision">
    <w:name w:val="Revision"/>
    <w:hidden/>
    <w:uiPriority w:val="99"/>
    <w:semiHidden/>
    <w:rsid w:val="00793154"/>
  </w:style>
  <w:style w:type="numbering" w:customStyle="1" w:styleId="LIST1">
    <w:name w:val="LIST1"/>
    <w:basedOn w:val="NoList"/>
    <w:uiPriority w:val="99"/>
    <w:rsid w:val="00FC0E88"/>
    <w:pPr>
      <w:numPr>
        <w:numId w:val="24"/>
      </w:numPr>
    </w:pPr>
  </w:style>
  <w:style w:type="character" w:customStyle="1" w:styleId="cf01">
    <w:name w:val="cf01"/>
    <w:rsid w:val="00A06D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49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admhc.sharepoint.com/sites/Teams-OPM-ANRTA/Shared%20Documents/General/APA%20Exempt%20Regulation/APA%20Materials%20-%20RY%202025%20(ANR)/Group%201/APL%20Documents_for_Review_%20Group%201/Downloads/www.DMHC.ca.gov"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DMHC.ca.gov" TargetMode="External"/><Relationship Id="rId2" Type="http://schemas.openxmlformats.org/officeDocument/2006/relationships/hyperlink" Target="http://www.DMHC.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b4b35ea-5a1b-4390-964d-1c6847989529">
      <UserInfo>
        <DisplayName>Ortiz, Sara@DMHC</DisplayName>
        <AccountId>39</AccountId>
        <AccountType/>
      </UserInfo>
      <UserInfo>
        <DisplayName>Sahay, Ekta@DMHC</DisplayName>
        <AccountId>65</AccountId>
        <AccountType/>
      </UserInfo>
      <UserInfo>
        <DisplayName>Holguin, Raquel@DMHC</DisplayName>
        <AccountId>993</AccountId>
        <AccountType/>
      </UserInfo>
    </SharedWithUsers>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430A0-A263-4708-AB98-C755E9DDB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B7EB6-C1BD-4468-8115-FD525E4636C3}">
  <ds:schemaRefs>
    <ds:schemaRef ds:uri="db4b35ea-5a1b-4390-964d-1c6847989529"/>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0441d56f-6ca1-4d16-908f-d9eaae11fe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043D1C3-E4D7-475E-91FD-F527A5AF5D0C}">
  <ds:schemaRefs>
    <ds:schemaRef ds:uri="http://schemas.microsoft.com/office/2006/metadata/longProperties"/>
  </ds:schemaRefs>
</ds:datastoreItem>
</file>

<file path=customXml/itemProps4.xml><?xml version="1.0" encoding="utf-8"?>
<ds:datastoreItem xmlns:ds="http://schemas.openxmlformats.org/officeDocument/2006/customXml" ds:itemID="{F34D5FCA-CF1E-455F-B05B-97C630D977D8}">
  <ds:schemaRefs>
    <ds:schemaRef ds:uri="http://schemas.microsoft.com/sharepoint/v3/contenttype/forms"/>
  </ds:schemaRefs>
</ds:datastoreItem>
</file>

<file path=customXml/itemProps5.xml><?xml version="1.0" encoding="utf-8"?>
<ds:datastoreItem xmlns:ds="http://schemas.openxmlformats.org/officeDocument/2006/customXml" ds:itemID="{40C44991-6D10-4218-A8EB-1B975B55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2968</Words>
  <Characters>16923</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FAQ_for_APL_RY_2025</vt:lpstr>
    </vt:vector>
  </TitlesOfParts>
  <Company/>
  <LinksUpToDate>false</LinksUpToDate>
  <CharactersWithSpaces>19852</CharactersWithSpaces>
  <SharedDoc>false</SharedDoc>
  <HLinks>
    <vt:vector size="12" baseType="variant">
      <vt:variant>
        <vt:i4>3342416</vt:i4>
      </vt:variant>
      <vt:variant>
        <vt:i4>3</vt:i4>
      </vt:variant>
      <vt:variant>
        <vt:i4>0</vt:i4>
      </vt:variant>
      <vt:variant>
        <vt:i4>5</vt:i4>
      </vt:variant>
      <vt:variant>
        <vt:lpwstr>https://cadmhc.sharepoint.com/sites/Teams-OPM-ANRTA/Shared Documents/General/APA Exempt Regulation/APA Materials - RY 2025 (ANR)/Group 1/APL Documents_for_Review_ Group 1/Downloads/www.DMHC.ca.gov</vt:lpwstr>
      </vt:variant>
      <vt:variant>
        <vt:lpwstr/>
      </vt:variant>
      <vt:variant>
        <vt:i4>7929980</vt:i4>
      </vt:variant>
      <vt:variant>
        <vt:i4>0</vt:i4>
      </vt:variant>
      <vt:variant>
        <vt:i4>0</vt:i4>
      </vt:variant>
      <vt:variant>
        <vt:i4>5</vt:i4>
      </vt:variant>
      <vt:variant>
        <vt:lpwstr>http://www.dmhc.ca.gov/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for Regulatory Amendments Impacting the RY 2025 Annual Network Report Submission</dc:title>
  <dc:subject/>
  <dc:creator>DMHC</dc:creator>
  <cp:keywords/>
  <cp:lastModifiedBy>DMHC</cp:lastModifiedBy>
  <cp:revision>2</cp:revision>
  <dcterms:created xsi:type="dcterms:W3CDTF">2024-10-29T23:56:00Z</dcterms:created>
  <dcterms:modified xsi:type="dcterms:W3CDTF">2024-10-29T23:56:00Z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