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98797" w14:textId="65998BA0" w:rsidR="004F6CD8" w:rsidRPr="00D47D0E" w:rsidRDefault="004F6CD8" w:rsidP="00D04210">
      <w:pPr>
        <w:pStyle w:val="Date"/>
        <w:tabs>
          <w:tab w:val="left" w:pos="3990"/>
        </w:tabs>
        <w:spacing w:before="1320" w:after="480" w:line="240" w:lineRule="auto"/>
        <w:jc w:val="left"/>
        <w:rPr>
          <w:rFonts w:cs="Arial"/>
          <w:spacing w:val="0"/>
          <w:sz w:val="24"/>
        </w:rPr>
      </w:pPr>
    </w:p>
    <w:p w14:paraId="0FC3AF34" w14:textId="77777777" w:rsidR="006E41CA" w:rsidRPr="00D47D0E" w:rsidRDefault="006E41CA" w:rsidP="00DB3716">
      <w:pPr>
        <w:pStyle w:val="Heading1"/>
        <w:spacing w:before="480" w:after="240"/>
        <w:ind w:left="634" w:hanging="634"/>
        <w:rPr>
          <w:rFonts w:ascii="Arial" w:hAnsi="Arial" w:cs="Arial"/>
          <w:b/>
          <w:bCs/>
          <w:sz w:val="28"/>
          <w:szCs w:val="28"/>
        </w:rPr>
      </w:pPr>
      <w:r w:rsidRPr="00D47D0E">
        <w:rPr>
          <w:rFonts w:ascii="Arial" w:hAnsi="Arial" w:cs="Arial"/>
          <w:b/>
          <w:bCs/>
          <w:sz w:val="28"/>
          <w:szCs w:val="28"/>
        </w:rPr>
        <w:t>Frequently Asked Questions</w:t>
      </w:r>
    </w:p>
    <w:p w14:paraId="72ADB1A6" w14:textId="7D54DA26" w:rsidR="00ED2A3F" w:rsidRPr="00D47D0E" w:rsidRDefault="00ED2A3F" w:rsidP="00802117">
      <w:pPr>
        <w:spacing w:after="240"/>
        <w:rPr>
          <w:rFonts w:ascii="Arial" w:hAnsi="Arial" w:cs="Arial"/>
          <w:sz w:val="24"/>
          <w:szCs w:val="24"/>
        </w:rPr>
      </w:pPr>
      <w:r w:rsidRPr="00D47D0E">
        <w:rPr>
          <w:rFonts w:ascii="Arial" w:hAnsi="Arial" w:cs="Arial"/>
          <w:sz w:val="24"/>
          <w:szCs w:val="24"/>
        </w:rPr>
        <w:t>The Department of Managed Health Care (DMHC) has prepared frequently asked questions (FAQ) and responses arising from stakeholder comments</w:t>
      </w:r>
      <w:r w:rsidR="00C417CE" w:rsidRPr="00D47D0E">
        <w:rPr>
          <w:rFonts w:ascii="Arial" w:hAnsi="Arial" w:cs="Arial"/>
          <w:sz w:val="24"/>
          <w:szCs w:val="24"/>
        </w:rPr>
        <w:t xml:space="preserve"> </w:t>
      </w:r>
      <w:r w:rsidRPr="00D47D0E">
        <w:rPr>
          <w:rFonts w:ascii="Arial" w:hAnsi="Arial" w:cs="Arial"/>
          <w:sz w:val="24"/>
          <w:szCs w:val="24"/>
        </w:rPr>
        <w:t xml:space="preserve">pertinent to the amendments </w:t>
      </w:r>
      <w:r w:rsidR="006E41CA" w:rsidRPr="00D47D0E">
        <w:rPr>
          <w:rFonts w:ascii="Arial" w:hAnsi="Arial" w:cs="Arial"/>
          <w:sz w:val="24"/>
          <w:szCs w:val="24"/>
        </w:rPr>
        <w:t xml:space="preserve">noticed in APL </w:t>
      </w:r>
      <w:r w:rsidR="00F46C84" w:rsidRPr="009F05DE">
        <w:rPr>
          <w:rFonts w:ascii="Arial" w:hAnsi="Arial" w:cs="Arial"/>
          <w:sz w:val="24"/>
          <w:szCs w:val="24"/>
        </w:rPr>
        <w:t>25-</w:t>
      </w:r>
      <w:r w:rsidR="009955A6">
        <w:rPr>
          <w:rFonts w:ascii="Arial" w:hAnsi="Arial" w:cs="Arial"/>
          <w:sz w:val="24"/>
          <w:szCs w:val="24"/>
        </w:rPr>
        <w:t>019</w:t>
      </w:r>
      <w:r w:rsidR="002F61AF" w:rsidRPr="00D47D0E">
        <w:rPr>
          <w:rFonts w:ascii="Arial" w:hAnsi="Arial" w:cs="Arial"/>
          <w:sz w:val="24"/>
          <w:szCs w:val="24"/>
        </w:rPr>
        <w:t xml:space="preserve"> (</w:t>
      </w:r>
      <w:r w:rsidR="00BE1412" w:rsidRPr="00D47D0E">
        <w:rPr>
          <w:rFonts w:ascii="Arial" w:hAnsi="Arial" w:cs="Arial"/>
          <w:sz w:val="24"/>
          <w:szCs w:val="24"/>
        </w:rPr>
        <w:t xml:space="preserve">December </w:t>
      </w:r>
      <w:r w:rsidR="00AD2CA5" w:rsidRPr="009F05DE">
        <w:rPr>
          <w:rFonts w:ascii="Arial" w:hAnsi="Arial" w:cs="Arial"/>
          <w:sz w:val="24"/>
          <w:szCs w:val="24"/>
        </w:rPr>
        <w:t>1</w:t>
      </w:r>
      <w:r w:rsidR="008522EA">
        <w:rPr>
          <w:rFonts w:ascii="Arial" w:hAnsi="Arial" w:cs="Arial"/>
          <w:sz w:val="24"/>
          <w:szCs w:val="24"/>
        </w:rPr>
        <w:t>2</w:t>
      </w:r>
      <w:r w:rsidR="002F61AF" w:rsidRPr="009F05DE">
        <w:rPr>
          <w:rFonts w:ascii="Arial" w:hAnsi="Arial" w:cs="Arial"/>
          <w:sz w:val="24"/>
          <w:szCs w:val="24"/>
        </w:rPr>
        <w:t>,</w:t>
      </w:r>
      <w:r w:rsidR="002F61AF" w:rsidRPr="00D47D0E">
        <w:rPr>
          <w:rFonts w:ascii="Arial" w:hAnsi="Arial" w:cs="Arial"/>
          <w:sz w:val="24"/>
          <w:szCs w:val="24"/>
        </w:rPr>
        <w:t xml:space="preserve"> 202</w:t>
      </w:r>
      <w:r w:rsidR="00F46C84" w:rsidRPr="00D47D0E">
        <w:rPr>
          <w:rFonts w:ascii="Arial" w:hAnsi="Arial" w:cs="Arial"/>
          <w:sz w:val="24"/>
          <w:szCs w:val="24"/>
        </w:rPr>
        <w:t>5</w:t>
      </w:r>
      <w:r w:rsidR="002F61AF" w:rsidRPr="00D47D0E">
        <w:rPr>
          <w:rFonts w:ascii="Arial" w:hAnsi="Arial" w:cs="Arial"/>
          <w:sz w:val="24"/>
          <w:szCs w:val="24"/>
        </w:rPr>
        <w:t>)</w:t>
      </w:r>
      <w:r w:rsidR="00173C50" w:rsidRPr="00D47D0E">
        <w:rPr>
          <w:rFonts w:ascii="Arial" w:hAnsi="Arial" w:cs="Arial"/>
          <w:sz w:val="24"/>
          <w:szCs w:val="24"/>
        </w:rPr>
        <w:t>.</w:t>
      </w:r>
      <w:r w:rsidR="00716087" w:rsidRPr="00D47D0E">
        <w:rPr>
          <w:rFonts w:ascii="Arial" w:hAnsi="Arial" w:cs="Arial"/>
          <w:sz w:val="24"/>
          <w:szCs w:val="24"/>
          <w:vertAlign w:val="superscript"/>
        </w:rPr>
        <w:footnoteReference w:id="2"/>
      </w:r>
      <w:r w:rsidR="00716087" w:rsidRPr="00D47D0E">
        <w:rPr>
          <w:rFonts w:ascii="Arial" w:hAnsi="Arial" w:cs="Arial"/>
          <w:sz w:val="24"/>
          <w:szCs w:val="24"/>
        </w:rPr>
        <w:t xml:space="preserve"> </w:t>
      </w:r>
      <w:r w:rsidRPr="00D47D0E">
        <w:rPr>
          <w:rFonts w:ascii="Arial" w:hAnsi="Arial" w:cs="Arial"/>
          <w:sz w:val="24"/>
          <w:szCs w:val="24"/>
        </w:rPr>
        <w:t>This includes Amendments to</w:t>
      </w:r>
      <w:r w:rsidR="002D6D6C" w:rsidRPr="00D47D0E">
        <w:rPr>
          <w:rFonts w:ascii="Arial" w:hAnsi="Arial" w:cs="Arial"/>
          <w:sz w:val="24"/>
          <w:szCs w:val="24"/>
        </w:rPr>
        <w:t xml:space="preserve"> 28 CCR § </w:t>
      </w:r>
      <w:r w:rsidRPr="00D47D0E">
        <w:rPr>
          <w:rFonts w:ascii="Arial" w:hAnsi="Arial" w:cs="Arial"/>
          <w:sz w:val="24"/>
          <w:szCs w:val="24"/>
        </w:rPr>
        <w:t>1300.67.2</w:t>
      </w:r>
      <w:r w:rsidR="002D6D6C" w:rsidRPr="00D47D0E">
        <w:rPr>
          <w:rFonts w:ascii="Arial" w:hAnsi="Arial" w:cs="Arial"/>
          <w:sz w:val="24"/>
          <w:szCs w:val="24"/>
        </w:rPr>
        <w:t xml:space="preserve"> </w:t>
      </w:r>
      <w:r w:rsidR="003F4DE6" w:rsidRPr="00D47D0E">
        <w:rPr>
          <w:rFonts w:ascii="Arial" w:hAnsi="Arial" w:cs="Arial"/>
          <w:sz w:val="24"/>
          <w:szCs w:val="24"/>
        </w:rPr>
        <w:t xml:space="preserve">and </w:t>
      </w:r>
      <w:r w:rsidRPr="00D47D0E">
        <w:rPr>
          <w:rFonts w:ascii="Arial" w:hAnsi="Arial" w:cs="Arial"/>
          <w:sz w:val="24"/>
          <w:szCs w:val="24"/>
        </w:rPr>
        <w:t>the incorporated network adequacy standards and methodologies for Reporting Year (RY) 202</w:t>
      </w:r>
      <w:r w:rsidR="000A7EFA" w:rsidRPr="00D47D0E">
        <w:rPr>
          <w:rFonts w:ascii="Arial" w:hAnsi="Arial" w:cs="Arial"/>
          <w:sz w:val="24"/>
          <w:szCs w:val="24"/>
        </w:rPr>
        <w:t>6</w:t>
      </w:r>
      <w:r w:rsidR="003F4DE6" w:rsidRPr="00D47D0E">
        <w:rPr>
          <w:rFonts w:ascii="Arial" w:hAnsi="Arial" w:cs="Arial"/>
          <w:sz w:val="24"/>
          <w:szCs w:val="24"/>
        </w:rPr>
        <w:t xml:space="preserve">, as well as amendments to </w:t>
      </w:r>
      <w:r w:rsidR="00B63B05" w:rsidRPr="00D47D0E">
        <w:rPr>
          <w:rFonts w:ascii="Arial" w:hAnsi="Arial" w:cs="Arial"/>
          <w:sz w:val="24"/>
          <w:szCs w:val="24"/>
        </w:rPr>
        <w:t xml:space="preserve">block transfer requirements in </w:t>
      </w:r>
      <w:r w:rsidR="003F4DE6" w:rsidRPr="00D47D0E">
        <w:rPr>
          <w:rFonts w:ascii="Arial" w:hAnsi="Arial" w:cs="Arial"/>
          <w:sz w:val="24"/>
          <w:szCs w:val="24"/>
        </w:rPr>
        <w:t>28 CCR §1300.</w:t>
      </w:r>
      <w:r w:rsidR="00F00519" w:rsidRPr="00D47D0E">
        <w:rPr>
          <w:rFonts w:ascii="Arial" w:hAnsi="Arial" w:cs="Arial"/>
          <w:sz w:val="24"/>
          <w:szCs w:val="24"/>
        </w:rPr>
        <w:t>67</w:t>
      </w:r>
      <w:r w:rsidR="00B148E9" w:rsidRPr="00D47D0E">
        <w:rPr>
          <w:rFonts w:ascii="Arial" w:hAnsi="Arial" w:cs="Arial"/>
          <w:sz w:val="24"/>
          <w:szCs w:val="24"/>
        </w:rPr>
        <w:t>.1.3</w:t>
      </w:r>
      <w:r w:rsidR="003F4DE6" w:rsidRPr="00D47D0E">
        <w:rPr>
          <w:rFonts w:ascii="Arial" w:hAnsi="Arial" w:cs="Arial"/>
          <w:sz w:val="24"/>
          <w:szCs w:val="24"/>
        </w:rPr>
        <w:t>.</w:t>
      </w:r>
    </w:p>
    <w:p w14:paraId="1BF7CBD5" w14:textId="1C00FC94" w:rsidR="00C20DD3" w:rsidRPr="00D47D0E" w:rsidRDefault="007F33DF" w:rsidP="00D47D0E">
      <w:pPr>
        <w:pStyle w:val="AccessibleHeader"/>
        <w:spacing w:before="0" w:line="240" w:lineRule="auto"/>
      </w:pPr>
      <w:r w:rsidRPr="00D47D0E">
        <w:t>Amendments to</w:t>
      </w:r>
      <w:r w:rsidR="004A54CB" w:rsidRPr="00D47D0E">
        <w:t xml:space="preserve"> </w:t>
      </w:r>
      <w:r w:rsidR="002B6D70" w:rsidRPr="00D47D0E">
        <w:t xml:space="preserve">Network Adequacy - </w:t>
      </w:r>
      <w:r w:rsidR="00C20DD3" w:rsidRPr="00D47D0E">
        <w:t>Rule 1300.67.2</w:t>
      </w:r>
      <w:r w:rsidR="002B6D70" w:rsidRPr="00D47D0E">
        <w:t xml:space="preserve"> and the Geographic Access Measurement Methodology</w:t>
      </w:r>
    </w:p>
    <w:p w14:paraId="3C55382E" w14:textId="4A6B6A5D" w:rsidR="004A54CB" w:rsidRPr="00D47D0E" w:rsidRDefault="004A54CB" w:rsidP="00D47D0E">
      <w:pPr>
        <w:pStyle w:val="ListParagraph"/>
        <w:numPr>
          <w:ilvl w:val="0"/>
          <w:numId w:val="36"/>
        </w:numPr>
        <w:spacing w:after="240" w:line="240" w:lineRule="auto"/>
        <w:ind w:left="1080"/>
        <w:contextualSpacing w:val="0"/>
        <w:rPr>
          <w:rFonts w:ascii="Arial" w:hAnsi="Arial" w:cs="Arial"/>
          <w:b/>
          <w:bCs/>
          <w:sz w:val="24"/>
          <w:szCs w:val="24"/>
        </w:rPr>
      </w:pPr>
      <w:r w:rsidRPr="00D47D0E">
        <w:rPr>
          <w:rFonts w:ascii="Arial" w:hAnsi="Arial" w:cs="Arial"/>
          <w:b/>
          <w:bCs/>
          <w:sz w:val="24"/>
          <w:szCs w:val="24"/>
        </w:rPr>
        <w:t xml:space="preserve">When a plan reports multiple addresses for a single provider, what methodology </w:t>
      </w:r>
      <w:r w:rsidR="00E6623A" w:rsidRPr="00D47D0E">
        <w:rPr>
          <w:rFonts w:ascii="Arial" w:hAnsi="Arial" w:cs="Arial"/>
          <w:b/>
          <w:bCs/>
          <w:sz w:val="24"/>
          <w:szCs w:val="24"/>
        </w:rPr>
        <w:t xml:space="preserve">may </w:t>
      </w:r>
      <w:r w:rsidRPr="00D47D0E">
        <w:rPr>
          <w:rFonts w:ascii="Arial" w:hAnsi="Arial" w:cs="Arial"/>
          <w:b/>
          <w:bCs/>
          <w:sz w:val="24"/>
          <w:szCs w:val="24"/>
        </w:rPr>
        <w:t>the D</w:t>
      </w:r>
      <w:r w:rsidR="007A6CB0" w:rsidRPr="00D47D0E">
        <w:rPr>
          <w:rFonts w:ascii="Arial" w:hAnsi="Arial" w:cs="Arial"/>
          <w:b/>
          <w:bCs/>
          <w:sz w:val="24"/>
          <w:szCs w:val="24"/>
        </w:rPr>
        <w:t>MHC</w:t>
      </w:r>
      <w:r w:rsidRPr="00D47D0E">
        <w:rPr>
          <w:rFonts w:ascii="Arial" w:hAnsi="Arial" w:cs="Arial"/>
          <w:b/>
          <w:bCs/>
          <w:sz w:val="24"/>
          <w:szCs w:val="24"/>
        </w:rPr>
        <w:t xml:space="preserve"> use to determine whether the practice addresses reported have likely accuracy issues which may impact their use in network adequacy review?</w:t>
      </w:r>
    </w:p>
    <w:p w14:paraId="542E459D" w14:textId="68007905" w:rsidR="004A54CB" w:rsidRPr="00D47D0E" w:rsidRDefault="004A54CB" w:rsidP="00BD609A">
      <w:pPr>
        <w:spacing w:after="360"/>
        <w:ind w:left="1080"/>
        <w:rPr>
          <w:rFonts w:ascii="Arial" w:hAnsi="Arial" w:cs="Arial"/>
          <w:sz w:val="24"/>
          <w:szCs w:val="24"/>
        </w:rPr>
      </w:pPr>
      <w:r w:rsidRPr="00D47D0E">
        <w:rPr>
          <w:rFonts w:ascii="Arial" w:hAnsi="Arial" w:cs="Arial"/>
          <w:sz w:val="24"/>
          <w:szCs w:val="24"/>
        </w:rPr>
        <w:t>When a plan reports multiple practice addresses for a single provider, the DMHC will use the "Identifying Provider Location" methodology set forth in the Geographic Access Measurement Methodology to flag reported provider addresses for likely inaccuracies. Addresses will be flagged when two or more secondary practice addresses for a provider are located more than 135 miles from the primary practice address</w:t>
      </w:r>
      <w:r w:rsidR="001153DA" w:rsidRPr="00D47D0E">
        <w:rPr>
          <w:rFonts w:ascii="Arial" w:hAnsi="Arial" w:cs="Arial"/>
          <w:sz w:val="24"/>
          <w:szCs w:val="24"/>
        </w:rPr>
        <w:t>;</w:t>
      </w:r>
      <w:r w:rsidRPr="00D47D0E">
        <w:rPr>
          <w:rFonts w:ascii="Arial" w:hAnsi="Arial" w:cs="Arial"/>
          <w:sz w:val="24"/>
          <w:szCs w:val="24"/>
        </w:rPr>
        <w:t xml:space="preserve"> when seven or more addresses are reported for a single </w:t>
      </w:r>
      <w:r w:rsidR="001E6F22" w:rsidRPr="00D47D0E">
        <w:rPr>
          <w:rFonts w:ascii="Arial" w:hAnsi="Arial" w:cs="Arial"/>
          <w:sz w:val="24"/>
          <w:szCs w:val="24"/>
        </w:rPr>
        <w:t xml:space="preserve">non-physician </w:t>
      </w:r>
      <w:r w:rsidRPr="00D47D0E">
        <w:rPr>
          <w:rFonts w:ascii="Arial" w:hAnsi="Arial" w:cs="Arial"/>
          <w:sz w:val="24"/>
          <w:szCs w:val="24"/>
        </w:rPr>
        <w:t>provider</w:t>
      </w:r>
      <w:r w:rsidR="002A1858" w:rsidRPr="00D47D0E">
        <w:rPr>
          <w:rFonts w:ascii="Arial" w:hAnsi="Arial" w:cs="Arial"/>
          <w:sz w:val="24"/>
          <w:szCs w:val="24"/>
        </w:rPr>
        <w:t xml:space="preserve"> </w:t>
      </w:r>
      <w:r w:rsidR="001E6F22" w:rsidRPr="00D47D0E">
        <w:rPr>
          <w:rFonts w:ascii="Arial" w:hAnsi="Arial" w:cs="Arial"/>
          <w:sz w:val="24"/>
          <w:szCs w:val="24"/>
        </w:rPr>
        <w:t>or primary care physician</w:t>
      </w:r>
      <w:r w:rsidR="001153DA" w:rsidRPr="00D47D0E">
        <w:rPr>
          <w:rFonts w:ascii="Arial" w:hAnsi="Arial" w:cs="Arial"/>
          <w:sz w:val="24"/>
          <w:szCs w:val="24"/>
        </w:rPr>
        <w:t>;</w:t>
      </w:r>
      <w:r w:rsidR="002A1858" w:rsidRPr="00D47D0E">
        <w:rPr>
          <w:rFonts w:ascii="Arial" w:hAnsi="Arial" w:cs="Arial"/>
          <w:sz w:val="24"/>
          <w:szCs w:val="24"/>
        </w:rPr>
        <w:t xml:space="preserve"> or when nine or more addresses are reported if the provider is a specialist physician</w:t>
      </w:r>
      <w:r w:rsidRPr="00D47D0E">
        <w:rPr>
          <w:rFonts w:ascii="Arial" w:hAnsi="Arial" w:cs="Arial"/>
          <w:sz w:val="24"/>
          <w:szCs w:val="24"/>
        </w:rPr>
        <w:t>. Based on a review of data submitted to the D</w:t>
      </w:r>
      <w:r w:rsidR="007A6CB0" w:rsidRPr="00D47D0E">
        <w:rPr>
          <w:rFonts w:ascii="Arial" w:hAnsi="Arial" w:cs="Arial"/>
          <w:sz w:val="24"/>
          <w:szCs w:val="24"/>
        </w:rPr>
        <w:t>MHC</w:t>
      </w:r>
      <w:r w:rsidRPr="00D47D0E">
        <w:rPr>
          <w:rFonts w:ascii="Arial" w:hAnsi="Arial" w:cs="Arial"/>
          <w:sz w:val="24"/>
          <w:szCs w:val="24"/>
        </w:rPr>
        <w:t xml:space="preserve"> over a period of years, addresses reported under these circumstances are statistically unlikely to be accurate and do not reflect typical provider patterns of practice. Health plans will have the opportunity to respond </w:t>
      </w:r>
      <w:r w:rsidR="00345A60" w:rsidRPr="00D47D0E">
        <w:rPr>
          <w:rFonts w:ascii="Arial" w:hAnsi="Arial" w:cs="Arial"/>
          <w:sz w:val="24"/>
          <w:szCs w:val="24"/>
        </w:rPr>
        <w:t xml:space="preserve">to </w:t>
      </w:r>
      <w:r w:rsidRPr="00D47D0E">
        <w:rPr>
          <w:rFonts w:ascii="Arial" w:hAnsi="Arial" w:cs="Arial"/>
          <w:sz w:val="24"/>
          <w:szCs w:val="24"/>
        </w:rPr>
        <w:t>the DMHC's data accuracy concerns, and verify practice addresses as set forth in the Geographic Access Measurement Methodology.</w:t>
      </w:r>
    </w:p>
    <w:p w14:paraId="1CCA4EF1" w14:textId="75B8A5DF" w:rsidR="004A54CB" w:rsidRPr="00D47D0E" w:rsidRDefault="004A54CB" w:rsidP="00D47D0E">
      <w:pPr>
        <w:pStyle w:val="ListParagraph"/>
        <w:numPr>
          <w:ilvl w:val="0"/>
          <w:numId w:val="36"/>
        </w:numPr>
        <w:spacing w:after="240" w:line="240" w:lineRule="auto"/>
        <w:ind w:left="1080"/>
        <w:contextualSpacing w:val="0"/>
        <w:rPr>
          <w:rFonts w:ascii="Arial" w:hAnsi="Arial" w:cs="Arial"/>
          <w:b/>
          <w:bCs/>
          <w:sz w:val="24"/>
          <w:szCs w:val="24"/>
        </w:rPr>
      </w:pPr>
      <w:r w:rsidRPr="00D47D0E">
        <w:rPr>
          <w:rFonts w:ascii="Arial" w:hAnsi="Arial" w:cs="Arial"/>
          <w:b/>
          <w:bCs/>
          <w:sz w:val="24"/>
          <w:szCs w:val="24"/>
        </w:rPr>
        <w:t>Is the "Identifying Provider Location" methodology in the Geographic Access Measurement Methodology intended to measure access to providers?</w:t>
      </w:r>
    </w:p>
    <w:p w14:paraId="660BA8E2" w14:textId="2B26BBB2" w:rsidR="004A54CB" w:rsidRPr="00D47D0E" w:rsidRDefault="004A54CB" w:rsidP="00D47D0E">
      <w:pPr>
        <w:pStyle w:val="ListParagraph"/>
        <w:spacing w:after="240" w:line="240" w:lineRule="auto"/>
        <w:ind w:left="1080"/>
        <w:contextualSpacing w:val="0"/>
        <w:rPr>
          <w:rFonts w:ascii="Arial" w:hAnsi="Arial" w:cs="Arial"/>
          <w:sz w:val="24"/>
          <w:szCs w:val="24"/>
        </w:rPr>
      </w:pPr>
      <w:r w:rsidRPr="00D47D0E">
        <w:rPr>
          <w:rFonts w:ascii="Arial" w:hAnsi="Arial" w:cs="Arial"/>
          <w:sz w:val="24"/>
          <w:szCs w:val="24"/>
        </w:rPr>
        <w:t>The DMHC will use the "Identifying Provider Location" methodology to determine whether reported provider address data appears to be inaccurately reported in the Annual Network Report submission. The methodology itself does not measure access to providers; however, it is an important aspect of the DMHC's network adequacy review, because without accurate provider practice address reporting, the DMHC cannot consistently review plans for network adequacy and identify enrollee access concerns using the standards and requirements set forth in the Knox-Keene Act and supporting regulations.</w:t>
      </w:r>
    </w:p>
    <w:p w14:paraId="685AC509" w14:textId="31C6E2C6" w:rsidR="004A54CB" w:rsidRPr="00D47D0E" w:rsidRDefault="004A54CB" w:rsidP="00D47D0E">
      <w:pPr>
        <w:pStyle w:val="ListParagraph"/>
        <w:numPr>
          <w:ilvl w:val="0"/>
          <w:numId w:val="36"/>
        </w:numPr>
        <w:spacing w:after="240" w:line="240" w:lineRule="auto"/>
        <w:ind w:left="1080"/>
        <w:contextualSpacing w:val="0"/>
        <w:rPr>
          <w:rFonts w:ascii="Arial" w:hAnsi="Arial" w:cs="Arial"/>
          <w:b/>
          <w:bCs/>
          <w:sz w:val="24"/>
          <w:szCs w:val="24"/>
        </w:rPr>
      </w:pPr>
      <w:r w:rsidRPr="00D47D0E">
        <w:rPr>
          <w:rFonts w:ascii="Arial" w:hAnsi="Arial" w:cs="Arial"/>
          <w:b/>
          <w:bCs/>
          <w:sz w:val="24"/>
          <w:szCs w:val="24"/>
        </w:rPr>
        <w:t xml:space="preserve">In parts of </w:t>
      </w:r>
      <w:r w:rsidR="00210664" w:rsidRPr="00D47D0E">
        <w:rPr>
          <w:rFonts w:ascii="Arial" w:hAnsi="Arial" w:cs="Arial"/>
          <w:b/>
          <w:bCs/>
          <w:sz w:val="24"/>
          <w:szCs w:val="24"/>
        </w:rPr>
        <w:t>California,</w:t>
      </w:r>
      <w:r w:rsidRPr="00D47D0E">
        <w:rPr>
          <w:rFonts w:ascii="Arial" w:hAnsi="Arial" w:cs="Arial"/>
          <w:b/>
          <w:bCs/>
          <w:sz w:val="24"/>
          <w:szCs w:val="24"/>
        </w:rPr>
        <w:t xml:space="preserve"> it is not uncommon for people to travel up to 60 miles for their job, and this is no different with providers. How does the methodology the DMHC uses to identify inaccurate practice addresses account for this?</w:t>
      </w:r>
    </w:p>
    <w:p w14:paraId="297126CB" w14:textId="1E7137A3" w:rsidR="00C75C64" w:rsidRPr="00D47D0E" w:rsidRDefault="004A54CB" w:rsidP="00D47D0E">
      <w:pPr>
        <w:spacing w:after="240"/>
        <w:ind w:left="1080"/>
        <w:rPr>
          <w:rFonts w:ascii="Arial" w:hAnsi="Arial" w:cs="Arial"/>
          <w:sz w:val="24"/>
          <w:szCs w:val="24"/>
        </w:rPr>
      </w:pPr>
      <w:r w:rsidRPr="00D47D0E">
        <w:rPr>
          <w:rFonts w:ascii="Arial" w:hAnsi="Arial" w:cs="Arial"/>
          <w:sz w:val="24"/>
          <w:szCs w:val="24"/>
        </w:rPr>
        <w:t xml:space="preserve">The DMHC flags reported provider addresses for likely inaccuracies </w:t>
      </w:r>
      <w:r w:rsidR="00C75C64" w:rsidRPr="00D47D0E">
        <w:rPr>
          <w:rFonts w:ascii="Arial" w:hAnsi="Arial" w:cs="Arial"/>
          <w:sz w:val="24"/>
          <w:szCs w:val="24"/>
        </w:rPr>
        <w:t>in the following circumstances:</w:t>
      </w:r>
    </w:p>
    <w:p w14:paraId="6E8FE1EF" w14:textId="78701877" w:rsidR="00C75C64" w:rsidRPr="00D47D0E" w:rsidRDefault="00C75C64" w:rsidP="00D47D0E">
      <w:pPr>
        <w:pStyle w:val="ListParagraph"/>
        <w:numPr>
          <w:ilvl w:val="0"/>
          <w:numId w:val="41"/>
        </w:numPr>
        <w:spacing w:after="240" w:line="240" w:lineRule="auto"/>
        <w:contextualSpacing w:val="0"/>
        <w:rPr>
          <w:rFonts w:ascii="Arial" w:hAnsi="Arial" w:cs="Arial"/>
          <w:sz w:val="24"/>
          <w:szCs w:val="24"/>
        </w:rPr>
      </w:pPr>
      <w:r w:rsidRPr="00D47D0E">
        <w:rPr>
          <w:rFonts w:ascii="Arial" w:hAnsi="Arial" w:cs="Arial"/>
          <w:sz w:val="24"/>
          <w:szCs w:val="24"/>
        </w:rPr>
        <w:t>W</w:t>
      </w:r>
      <w:r w:rsidR="004A54CB" w:rsidRPr="00D47D0E">
        <w:rPr>
          <w:rFonts w:ascii="Arial" w:hAnsi="Arial" w:cs="Arial"/>
          <w:sz w:val="24"/>
          <w:szCs w:val="24"/>
        </w:rPr>
        <w:t xml:space="preserve">hen a plan reports multiple practice addresses for a single provider and </w:t>
      </w:r>
      <w:r w:rsidR="00A058CD" w:rsidRPr="00D47D0E">
        <w:rPr>
          <w:rFonts w:ascii="Arial" w:hAnsi="Arial" w:cs="Arial"/>
          <w:sz w:val="24"/>
          <w:szCs w:val="24"/>
        </w:rPr>
        <w:t xml:space="preserve">at least </w:t>
      </w:r>
      <w:r w:rsidR="004A54CB" w:rsidRPr="00D47D0E">
        <w:rPr>
          <w:rFonts w:ascii="Arial" w:hAnsi="Arial" w:cs="Arial"/>
          <w:sz w:val="24"/>
          <w:szCs w:val="24"/>
        </w:rPr>
        <w:t xml:space="preserve">two or more secondary addresses are </w:t>
      </w:r>
      <w:r w:rsidR="00A058CD" w:rsidRPr="00D47D0E">
        <w:rPr>
          <w:rFonts w:ascii="Arial" w:hAnsi="Arial" w:cs="Arial"/>
          <w:sz w:val="24"/>
          <w:szCs w:val="24"/>
        </w:rPr>
        <w:t xml:space="preserve">each </w:t>
      </w:r>
      <w:r w:rsidR="004A54CB" w:rsidRPr="00D47D0E">
        <w:rPr>
          <w:rFonts w:ascii="Arial" w:hAnsi="Arial" w:cs="Arial"/>
          <w:sz w:val="24"/>
          <w:szCs w:val="24"/>
        </w:rPr>
        <w:t xml:space="preserve">more than 135 </w:t>
      </w:r>
      <w:r w:rsidR="00ED3B6D" w:rsidRPr="00D47D0E">
        <w:rPr>
          <w:rFonts w:ascii="Arial" w:hAnsi="Arial" w:cs="Arial"/>
          <w:sz w:val="24"/>
          <w:szCs w:val="24"/>
        </w:rPr>
        <w:t xml:space="preserve">driving </w:t>
      </w:r>
      <w:r w:rsidR="004A54CB" w:rsidRPr="00D47D0E">
        <w:rPr>
          <w:rFonts w:ascii="Arial" w:hAnsi="Arial" w:cs="Arial"/>
          <w:sz w:val="24"/>
          <w:szCs w:val="24"/>
        </w:rPr>
        <w:t>miles from the primary practice address</w:t>
      </w:r>
      <w:r w:rsidR="00ED3B6D" w:rsidRPr="00D47D0E">
        <w:rPr>
          <w:rFonts w:ascii="Arial" w:hAnsi="Arial" w:cs="Arial"/>
          <w:sz w:val="24"/>
          <w:szCs w:val="24"/>
        </w:rPr>
        <w:t>;</w:t>
      </w:r>
    </w:p>
    <w:p w14:paraId="5F1300DE" w14:textId="7F678C88" w:rsidR="00C75C64" w:rsidRPr="00D47D0E" w:rsidRDefault="00C75C64" w:rsidP="00D47D0E">
      <w:pPr>
        <w:pStyle w:val="ListParagraph"/>
        <w:numPr>
          <w:ilvl w:val="0"/>
          <w:numId w:val="41"/>
        </w:numPr>
        <w:spacing w:after="240" w:line="240" w:lineRule="auto"/>
        <w:contextualSpacing w:val="0"/>
        <w:rPr>
          <w:rFonts w:ascii="Arial" w:hAnsi="Arial" w:cs="Arial"/>
          <w:sz w:val="24"/>
          <w:szCs w:val="24"/>
        </w:rPr>
      </w:pPr>
      <w:r w:rsidRPr="00D47D0E">
        <w:rPr>
          <w:rFonts w:ascii="Arial" w:hAnsi="Arial" w:cs="Arial"/>
          <w:sz w:val="24"/>
          <w:szCs w:val="24"/>
        </w:rPr>
        <w:t xml:space="preserve">When </w:t>
      </w:r>
      <w:r w:rsidR="004A54CB" w:rsidRPr="00D47D0E">
        <w:rPr>
          <w:rFonts w:ascii="Arial" w:hAnsi="Arial" w:cs="Arial"/>
          <w:sz w:val="24"/>
          <w:szCs w:val="24"/>
        </w:rPr>
        <w:t xml:space="preserve">seven or more practice addresses </w:t>
      </w:r>
      <w:r w:rsidRPr="00D47D0E">
        <w:rPr>
          <w:rFonts w:ascii="Arial" w:hAnsi="Arial" w:cs="Arial"/>
          <w:sz w:val="24"/>
          <w:szCs w:val="24"/>
        </w:rPr>
        <w:t xml:space="preserve">are </w:t>
      </w:r>
      <w:r w:rsidR="004A54CB" w:rsidRPr="00D47D0E">
        <w:rPr>
          <w:rFonts w:ascii="Arial" w:hAnsi="Arial" w:cs="Arial"/>
          <w:sz w:val="24"/>
          <w:szCs w:val="24"/>
        </w:rPr>
        <w:t xml:space="preserve">reported for a single </w:t>
      </w:r>
      <w:r w:rsidR="003E71C0" w:rsidRPr="00D47D0E">
        <w:rPr>
          <w:rFonts w:ascii="Arial" w:hAnsi="Arial" w:cs="Arial"/>
          <w:sz w:val="24"/>
          <w:szCs w:val="24"/>
        </w:rPr>
        <w:t xml:space="preserve">non-physician </w:t>
      </w:r>
      <w:r w:rsidR="004A54CB" w:rsidRPr="00D47D0E">
        <w:rPr>
          <w:rFonts w:ascii="Arial" w:hAnsi="Arial" w:cs="Arial"/>
          <w:sz w:val="24"/>
          <w:szCs w:val="24"/>
        </w:rPr>
        <w:t>provider</w:t>
      </w:r>
      <w:r w:rsidR="003E71C0" w:rsidRPr="00D47D0E">
        <w:rPr>
          <w:rFonts w:ascii="Arial" w:hAnsi="Arial" w:cs="Arial"/>
          <w:sz w:val="24"/>
          <w:szCs w:val="24"/>
        </w:rPr>
        <w:t xml:space="preserve"> or primary care physician; or</w:t>
      </w:r>
    </w:p>
    <w:p w14:paraId="191D7E74" w14:textId="42872EA0" w:rsidR="00C75C64" w:rsidRPr="00D47D0E" w:rsidRDefault="00C75C64" w:rsidP="00D47D0E">
      <w:pPr>
        <w:pStyle w:val="ListParagraph"/>
        <w:numPr>
          <w:ilvl w:val="0"/>
          <w:numId w:val="41"/>
        </w:numPr>
        <w:spacing w:after="240" w:line="240" w:lineRule="auto"/>
        <w:contextualSpacing w:val="0"/>
        <w:rPr>
          <w:rFonts w:ascii="Arial" w:hAnsi="Arial" w:cs="Arial"/>
          <w:sz w:val="24"/>
          <w:szCs w:val="24"/>
        </w:rPr>
      </w:pPr>
      <w:r w:rsidRPr="00D47D0E">
        <w:rPr>
          <w:rFonts w:ascii="Arial" w:hAnsi="Arial" w:cs="Arial"/>
          <w:sz w:val="24"/>
          <w:szCs w:val="24"/>
        </w:rPr>
        <w:t xml:space="preserve">When </w:t>
      </w:r>
      <w:r w:rsidR="00187200" w:rsidRPr="00D47D0E">
        <w:rPr>
          <w:rFonts w:ascii="Arial" w:hAnsi="Arial" w:cs="Arial"/>
          <w:sz w:val="24"/>
          <w:szCs w:val="24"/>
        </w:rPr>
        <w:t xml:space="preserve">nine or more </w:t>
      </w:r>
      <w:r w:rsidRPr="00D47D0E">
        <w:rPr>
          <w:rFonts w:ascii="Arial" w:hAnsi="Arial" w:cs="Arial"/>
          <w:sz w:val="24"/>
          <w:szCs w:val="24"/>
        </w:rPr>
        <w:t xml:space="preserve">practice </w:t>
      </w:r>
      <w:r w:rsidR="00187200" w:rsidRPr="00D47D0E">
        <w:rPr>
          <w:rFonts w:ascii="Arial" w:hAnsi="Arial" w:cs="Arial"/>
          <w:sz w:val="24"/>
          <w:szCs w:val="24"/>
        </w:rPr>
        <w:t xml:space="preserve">addresses are reported for a single specialist </w:t>
      </w:r>
      <w:r w:rsidR="004A54CB" w:rsidRPr="00D47D0E">
        <w:rPr>
          <w:rFonts w:ascii="Arial" w:hAnsi="Arial" w:cs="Arial"/>
          <w:sz w:val="24"/>
          <w:szCs w:val="24"/>
        </w:rPr>
        <w:t>p</w:t>
      </w:r>
      <w:r w:rsidR="00187200" w:rsidRPr="00D47D0E">
        <w:rPr>
          <w:rFonts w:ascii="Arial" w:hAnsi="Arial" w:cs="Arial"/>
          <w:sz w:val="24"/>
          <w:szCs w:val="24"/>
        </w:rPr>
        <w:t>hysician</w:t>
      </w:r>
      <w:r w:rsidR="004A54CB" w:rsidRPr="00D47D0E">
        <w:rPr>
          <w:rFonts w:ascii="Arial" w:hAnsi="Arial" w:cs="Arial"/>
          <w:sz w:val="24"/>
          <w:szCs w:val="24"/>
        </w:rPr>
        <w:t>.</w:t>
      </w:r>
    </w:p>
    <w:p w14:paraId="7D45C96D" w14:textId="1C382B23" w:rsidR="004A54CB" w:rsidRPr="00D47D0E" w:rsidRDefault="003C08CD" w:rsidP="00D47D0E">
      <w:pPr>
        <w:spacing w:after="240"/>
        <w:ind w:left="1080"/>
        <w:rPr>
          <w:rFonts w:ascii="Arial" w:hAnsi="Arial" w:cs="Arial"/>
          <w:sz w:val="24"/>
          <w:szCs w:val="24"/>
        </w:rPr>
      </w:pPr>
      <w:r w:rsidRPr="00D47D0E">
        <w:rPr>
          <w:rFonts w:ascii="Arial" w:hAnsi="Arial" w:cs="Arial"/>
          <w:sz w:val="24"/>
          <w:szCs w:val="24"/>
        </w:rPr>
        <w:t>The</w:t>
      </w:r>
      <w:r w:rsidR="004A54CB" w:rsidRPr="00D47D0E">
        <w:rPr>
          <w:rFonts w:ascii="Arial" w:hAnsi="Arial" w:cs="Arial"/>
          <w:sz w:val="24"/>
          <w:szCs w:val="24"/>
        </w:rPr>
        <w:t xml:space="preserve"> methodology singles out practice addresses that do not reflect typical patterns of practice, even for providers who are accustomed to working out of more than one location, and signals those reported practice addresses that are likely to be data reporting inaccuracies.</w:t>
      </w:r>
    </w:p>
    <w:p w14:paraId="25CF912C" w14:textId="784D09E6" w:rsidR="004A54CB" w:rsidRPr="00D47D0E" w:rsidRDefault="004A54CB" w:rsidP="00D47D0E">
      <w:pPr>
        <w:pStyle w:val="ListParagraph"/>
        <w:numPr>
          <w:ilvl w:val="0"/>
          <w:numId w:val="36"/>
        </w:numPr>
        <w:spacing w:after="240" w:line="240" w:lineRule="auto"/>
        <w:ind w:left="1080"/>
        <w:contextualSpacing w:val="0"/>
        <w:rPr>
          <w:rFonts w:ascii="Arial" w:hAnsi="Arial" w:cs="Arial"/>
          <w:b/>
          <w:bCs/>
          <w:sz w:val="24"/>
          <w:szCs w:val="24"/>
        </w:rPr>
      </w:pPr>
      <w:r w:rsidRPr="00D47D0E">
        <w:rPr>
          <w:rFonts w:ascii="Arial" w:hAnsi="Arial" w:cs="Arial"/>
          <w:b/>
          <w:bCs/>
          <w:sz w:val="24"/>
          <w:szCs w:val="24"/>
        </w:rPr>
        <w:t>Does the practice address review methodology include hospital-based providers?</w:t>
      </w:r>
    </w:p>
    <w:p w14:paraId="6E95B284" w14:textId="2FFC418D" w:rsidR="004A54CB" w:rsidRPr="00D47D0E" w:rsidRDefault="004A54CB" w:rsidP="00D47D0E">
      <w:pPr>
        <w:pStyle w:val="ListParagraph"/>
        <w:spacing w:after="240" w:line="240" w:lineRule="auto"/>
        <w:ind w:left="1080"/>
        <w:contextualSpacing w:val="0"/>
        <w:rPr>
          <w:rFonts w:ascii="Arial" w:hAnsi="Arial" w:cs="Arial"/>
          <w:sz w:val="24"/>
          <w:szCs w:val="24"/>
        </w:rPr>
      </w:pPr>
      <w:r w:rsidRPr="00D47D0E">
        <w:rPr>
          <w:rFonts w:ascii="Arial" w:hAnsi="Arial" w:cs="Arial"/>
          <w:sz w:val="24"/>
          <w:szCs w:val="24"/>
        </w:rPr>
        <w:t>At this time, the practice address methodology is limited to outpatient provider addresses. The DMHC may extend this methodology to hospital-based providers in subsequent reporting years.</w:t>
      </w:r>
    </w:p>
    <w:p w14:paraId="3E42C915" w14:textId="4F910279" w:rsidR="00ED3B6D" w:rsidRPr="00D47D0E" w:rsidRDefault="004A54CB" w:rsidP="005B1343">
      <w:pPr>
        <w:pStyle w:val="ListParagraph"/>
        <w:keepNext/>
        <w:keepLines/>
        <w:numPr>
          <w:ilvl w:val="0"/>
          <w:numId w:val="36"/>
        </w:numPr>
        <w:spacing w:after="240" w:line="240" w:lineRule="auto"/>
        <w:ind w:left="1080"/>
        <w:contextualSpacing w:val="0"/>
        <w:rPr>
          <w:rFonts w:ascii="Arial" w:hAnsi="Arial" w:cs="Arial"/>
          <w:b/>
          <w:bCs/>
          <w:sz w:val="24"/>
          <w:szCs w:val="24"/>
        </w:rPr>
      </w:pPr>
      <w:r w:rsidRPr="00D47D0E">
        <w:rPr>
          <w:rFonts w:ascii="Arial" w:hAnsi="Arial" w:cs="Arial"/>
          <w:b/>
          <w:bCs/>
          <w:sz w:val="24"/>
          <w:szCs w:val="24"/>
        </w:rPr>
        <w:t>Can the DMHC clarify how the Plan should report primary addresses for providers who are affiliated with multiple Provider Groups/IPAs and have different addresses within the same network? The DMHC requirements only allow for one primary address per network.</w:t>
      </w:r>
    </w:p>
    <w:p w14:paraId="5290D777" w14:textId="1FC53BC6" w:rsidR="004A54CB" w:rsidRPr="00D47D0E" w:rsidRDefault="004A54CB" w:rsidP="00D47D0E">
      <w:pPr>
        <w:pStyle w:val="ListParagraph"/>
        <w:spacing w:after="240" w:line="240" w:lineRule="auto"/>
        <w:ind w:left="1080" w:right="-90"/>
        <w:contextualSpacing w:val="0"/>
        <w:rPr>
          <w:rFonts w:ascii="Arial" w:hAnsi="Arial" w:cs="Arial"/>
          <w:sz w:val="24"/>
          <w:szCs w:val="24"/>
        </w:rPr>
      </w:pPr>
      <w:r w:rsidRPr="00D47D0E">
        <w:rPr>
          <w:rFonts w:ascii="Arial" w:hAnsi="Arial" w:cs="Arial"/>
          <w:sz w:val="24"/>
          <w:szCs w:val="24"/>
        </w:rPr>
        <w:t>The primary practice address for a provider is the single location where the provider most frequently delivers in-person health care services to enrollees. Health plans should report one location for each provider as the primary practice location for the network. If the provider regularly delivers in-person health care services to enrollees at more than one location, all other addresses must be reported as secondary practice addresses, in accordance with that definition.</w:t>
      </w:r>
    </w:p>
    <w:p w14:paraId="2D837325" w14:textId="1ABF765C" w:rsidR="004A54CB" w:rsidRPr="00D47D0E" w:rsidRDefault="004A54CB" w:rsidP="00D47D0E">
      <w:pPr>
        <w:pStyle w:val="ListParagraph"/>
        <w:spacing w:after="240" w:line="240" w:lineRule="auto"/>
        <w:ind w:left="1080"/>
        <w:contextualSpacing w:val="0"/>
        <w:rPr>
          <w:rFonts w:ascii="Arial" w:hAnsi="Arial" w:cs="Arial"/>
          <w:sz w:val="24"/>
          <w:szCs w:val="24"/>
        </w:rPr>
      </w:pPr>
      <w:r w:rsidRPr="00D47D0E">
        <w:rPr>
          <w:rFonts w:ascii="Arial" w:hAnsi="Arial" w:cs="Arial"/>
          <w:sz w:val="24"/>
          <w:szCs w:val="24"/>
        </w:rPr>
        <w:t xml:space="preserve">For further information, please see the definition of "primary practice address" and "secondary practice address" in 28 CCR § 1300.67.2.2(b). A copy of the most recent version of this amended Rule is available on </w:t>
      </w:r>
      <w:r w:rsidR="00122486" w:rsidRPr="00D47D0E">
        <w:rPr>
          <w:rFonts w:ascii="Arial" w:hAnsi="Arial" w:cs="Arial"/>
          <w:sz w:val="24"/>
          <w:szCs w:val="24"/>
        </w:rPr>
        <w:t xml:space="preserve">the </w:t>
      </w:r>
      <w:r w:rsidRPr="00D47D0E">
        <w:rPr>
          <w:rFonts w:ascii="Arial" w:hAnsi="Arial" w:cs="Arial"/>
          <w:sz w:val="24"/>
          <w:szCs w:val="24"/>
        </w:rPr>
        <w:t>All Plan Letter (APL) page of the DMHC's website, under APL 25-013 (September 4, 2025).</w:t>
      </w:r>
    </w:p>
    <w:p w14:paraId="62336FE3" w14:textId="30F12A34" w:rsidR="006D6951" w:rsidRPr="00D47D0E" w:rsidRDefault="006D6951" w:rsidP="00D47D0E">
      <w:pPr>
        <w:pStyle w:val="ListParagraph"/>
        <w:numPr>
          <w:ilvl w:val="0"/>
          <w:numId w:val="36"/>
        </w:numPr>
        <w:spacing w:after="240" w:line="240" w:lineRule="auto"/>
        <w:ind w:left="1080"/>
        <w:contextualSpacing w:val="0"/>
        <w:rPr>
          <w:rFonts w:ascii="Arial" w:hAnsi="Arial" w:cs="Arial"/>
          <w:b/>
          <w:bCs/>
          <w:sz w:val="24"/>
          <w:szCs w:val="24"/>
        </w:rPr>
      </w:pPr>
      <w:r w:rsidRPr="00D47D0E">
        <w:rPr>
          <w:rFonts w:ascii="Arial" w:hAnsi="Arial" w:cs="Arial"/>
          <w:b/>
          <w:bCs/>
          <w:sz w:val="24"/>
          <w:szCs w:val="24"/>
        </w:rPr>
        <w:t>Why is DMHC holding health plans responsible for accurate provider address reporting under its data review methodology, when a plan must rely on providers and provider groups for this information?</w:t>
      </w:r>
    </w:p>
    <w:p w14:paraId="5919D8F3" w14:textId="267C62C0" w:rsidR="006D6951" w:rsidRPr="00D47D0E" w:rsidRDefault="006D6951" w:rsidP="00D47D0E">
      <w:pPr>
        <w:pStyle w:val="ListParagraph"/>
        <w:spacing w:after="240" w:line="240" w:lineRule="auto"/>
        <w:ind w:left="1080"/>
        <w:contextualSpacing w:val="0"/>
        <w:rPr>
          <w:rFonts w:ascii="Arial" w:hAnsi="Arial" w:cs="Arial"/>
          <w:sz w:val="24"/>
          <w:szCs w:val="24"/>
        </w:rPr>
      </w:pPr>
      <w:r w:rsidRPr="00D47D0E">
        <w:rPr>
          <w:rFonts w:ascii="Arial" w:hAnsi="Arial" w:cs="Arial"/>
          <w:sz w:val="24"/>
          <w:szCs w:val="24"/>
        </w:rPr>
        <w:t>A health plan's accurate reporting of provider practice locations is critical for both health plans and the DMHC to be able to conduct accurate network adequacy monitoring and reviews. When a health plan reports a provider as practicing at an address location where the provider does not practice, the plan represents that there is access to the health care services in a geographic location where this care may not be available to enrollees.</w:t>
      </w:r>
    </w:p>
    <w:p w14:paraId="4E743D38" w14:textId="68ABAC46" w:rsidR="003E529F" w:rsidRPr="00D47D0E" w:rsidRDefault="006D6951" w:rsidP="00D47D0E">
      <w:pPr>
        <w:pStyle w:val="ListParagraph"/>
        <w:spacing w:after="240" w:line="240" w:lineRule="auto"/>
        <w:ind w:left="1080"/>
        <w:contextualSpacing w:val="0"/>
        <w:rPr>
          <w:rFonts w:ascii="Arial" w:hAnsi="Arial" w:cs="Arial"/>
          <w:sz w:val="24"/>
          <w:szCs w:val="24"/>
        </w:rPr>
      </w:pPr>
      <w:r w:rsidRPr="00D47D0E">
        <w:rPr>
          <w:rFonts w:ascii="Arial" w:hAnsi="Arial" w:cs="Arial"/>
          <w:sz w:val="24"/>
          <w:szCs w:val="24"/>
        </w:rPr>
        <w:t>Without accurate provider practice address reporting, neither the DMHC nor health plans can conduct consistent and accurate network adequacy reviews. Health plans are required to verify provider address information for the purposes of the provider directory requirements under Health &amp; Safety Code 1367.27, as well as for the purpose of internal monitoring of enrollee access to network providers to ensure the availability of network providers in the geographic regions throughout the network service area. It is critical for health plans to also accurately report this practice address data to</w:t>
      </w:r>
      <w:r w:rsidRPr="00D47D0E">
        <w:rPr>
          <w:rFonts w:ascii="Arial" w:hAnsi="Arial" w:cs="Arial"/>
          <w:b/>
          <w:bCs/>
          <w:sz w:val="24"/>
          <w:szCs w:val="24"/>
        </w:rPr>
        <w:t xml:space="preserve"> </w:t>
      </w:r>
      <w:r w:rsidRPr="00D47D0E">
        <w:rPr>
          <w:rFonts w:ascii="Arial" w:hAnsi="Arial" w:cs="Arial"/>
          <w:sz w:val="24"/>
          <w:szCs w:val="24"/>
        </w:rPr>
        <w:t>the DMHC as part of the Annual Network Reporting requirements set forth in Sections 1367.035 and 1367.03. This allows the DMHC to review health plan data for compliance with network adequacy standards and requirements in the Knox-Keene Act and consistently identify enrollee access concerns in accordance with these requirements.</w:t>
      </w:r>
    </w:p>
    <w:p w14:paraId="3D7CC979" w14:textId="035FD762" w:rsidR="000A732A" w:rsidRPr="00D47D0E" w:rsidRDefault="004A54CB" w:rsidP="00E90571">
      <w:pPr>
        <w:pStyle w:val="ListParagraph"/>
        <w:keepNext/>
        <w:keepLines/>
        <w:numPr>
          <w:ilvl w:val="0"/>
          <w:numId w:val="36"/>
        </w:numPr>
        <w:spacing w:after="240" w:line="240" w:lineRule="auto"/>
        <w:ind w:left="1080"/>
        <w:contextualSpacing w:val="0"/>
        <w:rPr>
          <w:b/>
          <w:bCs/>
        </w:rPr>
      </w:pPr>
      <w:r w:rsidRPr="00D47D0E">
        <w:rPr>
          <w:rFonts w:ascii="Arial" w:hAnsi="Arial" w:cs="Arial"/>
          <w:b/>
          <w:bCs/>
          <w:sz w:val="24"/>
          <w:szCs w:val="24"/>
        </w:rPr>
        <w:t xml:space="preserve">What will happen if a network provider is reported with </w:t>
      </w:r>
      <w:r w:rsidR="00B7631A" w:rsidRPr="00D47D0E">
        <w:rPr>
          <w:rFonts w:ascii="Arial" w:hAnsi="Arial" w:cs="Arial"/>
          <w:b/>
          <w:bCs/>
          <w:sz w:val="24"/>
          <w:szCs w:val="24"/>
        </w:rPr>
        <w:t xml:space="preserve">many </w:t>
      </w:r>
      <w:r w:rsidR="009C3AC6" w:rsidRPr="00D47D0E">
        <w:rPr>
          <w:rFonts w:ascii="Arial" w:hAnsi="Arial" w:cs="Arial"/>
          <w:b/>
          <w:bCs/>
          <w:sz w:val="24"/>
          <w:szCs w:val="24"/>
        </w:rPr>
        <w:t>practice locations</w:t>
      </w:r>
      <w:r w:rsidR="007E15AA" w:rsidRPr="00D47D0E">
        <w:rPr>
          <w:rFonts w:ascii="Arial" w:hAnsi="Arial" w:cs="Arial"/>
          <w:b/>
          <w:bCs/>
          <w:sz w:val="24"/>
          <w:szCs w:val="24"/>
        </w:rPr>
        <w:t>,</w:t>
      </w:r>
      <w:r w:rsidR="009C3AC6" w:rsidRPr="00D47D0E">
        <w:rPr>
          <w:rFonts w:ascii="Arial" w:hAnsi="Arial" w:cs="Arial"/>
          <w:b/>
          <w:bCs/>
          <w:sz w:val="24"/>
          <w:szCs w:val="24"/>
        </w:rPr>
        <w:t xml:space="preserve"> </w:t>
      </w:r>
      <w:r w:rsidRPr="00D47D0E">
        <w:rPr>
          <w:rFonts w:ascii="Arial" w:hAnsi="Arial" w:cs="Arial"/>
          <w:b/>
          <w:bCs/>
          <w:sz w:val="24"/>
          <w:szCs w:val="24"/>
        </w:rPr>
        <w:t xml:space="preserve">or if the provider is reported with </w:t>
      </w:r>
      <w:r w:rsidR="00EE08A8" w:rsidRPr="00D47D0E">
        <w:rPr>
          <w:rFonts w:ascii="Arial" w:hAnsi="Arial" w:cs="Arial"/>
          <w:b/>
          <w:bCs/>
          <w:sz w:val="24"/>
          <w:szCs w:val="24"/>
        </w:rPr>
        <w:t>two or more secondary</w:t>
      </w:r>
      <w:r w:rsidRPr="00D47D0E">
        <w:rPr>
          <w:rFonts w:ascii="Arial" w:hAnsi="Arial" w:cs="Arial"/>
          <w:b/>
          <w:bCs/>
          <w:sz w:val="24"/>
          <w:szCs w:val="24"/>
        </w:rPr>
        <w:t xml:space="preserve"> practice locations that are more than </w:t>
      </w:r>
      <w:r w:rsidR="005D1677" w:rsidRPr="00D47D0E">
        <w:rPr>
          <w:rFonts w:ascii="Arial" w:hAnsi="Arial" w:cs="Arial"/>
          <w:b/>
          <w:bCs/>
          <w:sz w:val="24"/>
          <w:szCs w:val="24"/>
        </w:rPr>
        <w:t xml:space="preserve">135 driving </w:t>
      </w:r>
      <w:r w:rsidRPr="00D47D0E">
        <w:rPr>
          <w:rFonts w:ascii="Arial" w:hAnsi="Arial" w:cs="Arial"/>
          <w:b/>
          <w:bCs/>
          <w:sz w:val="24"/>
          <w:szCs w:val="24"/>
        </w:rPr>
        <w:t>miles from the primary practice address?</w:t>
      </w:r>
    </w:p>
    <w:p w14:paraId="1138647F" w14:textId="1A7238A2" w:rsidR="004A54CB" w:rsidRPr="00D47D0E" w:rsidRDefault="004A54CB" w:rsidP="00D47D0E">
      <w:pPr>
        <w:pStyle w:val="ListParagraph"/>
        <w:spacing w:after="240" w:line="240" w:lineRule="auto"/>
        <w:ind w:left="1080"/>
        <w:contextualSpacing w:val="0"/>
        <w:rPr>
          <w:rFonts w:ascii="Arial" w:hAnsi="Arial" w:cs="Arial"/>
          <w:sz w:val="24"/>
          <w:szCs w:val="24"/>
        </w:rPr>
      </w:pPr>
      <w:r w:rsidRPr="00D47D0E">
        <w:rPr>
          <w:rFonts w:ascii="Arial" w:hAnsi="Arial" w:cs="Arial"/>
          <w:sz w:val="24"/>
          <w:szCs w:val="24"/>
        </w:rPr>
        <w:t>The practice address methodology is meant to target practice address reporting inaccuracies for outpatient providers, based on a review of historical data. Most network providers have fewer than seven outpatient practice addresses</w:t>
      </w:r>
      <w:r w:rsidR="002917A0" w:rsidRPr="00D47D0E">
        <w:rPr>
          <w:rFonts w:ascii="Arial" w:hAnsi="Arial" w:cs="Arial"/>
          <w:sz w:val="24"/>
          <w:szCs w:val="24"/>
        </w:rPr>
        <w:t xml:space="preserve"> (</w:t>
      </w:r>
      <w:r w:rsidR="00AB43E9" w:rsidRPr="00D47D0E">
        <w:rPr>
          <w:rFonts w:ascii="Arial" w:hAnsi="Arial" w:cs="Arial"/>
          <w:sz w:val="24"/>
          <w:szCs w:val="24"/>
        </w:rPr>
        <w:t xml:space="preserve">or nine outpatient practice addresses for </w:t>
      </w:r>
      <w:r w:rsidR="00DC7693" w:rsidRPr="00D47D0E">
        <w:rPr>
          <w:rFonts w:ascii="Arial" w:hAnsi="Arial" w:cs="Arial"/>
          <w:sz w:val="24"/>
          <w:szCs w:val="24"/>
        </w:rPr>
        <w:t>sp</w:t>
      </w:r>
      <w:r w:rsidR="00F84ABD" w:rsidRPr="00D47D0E">
        <w:rPr>
          <w:rFonts w:ascii="Arial" w:hAnsi="Arial" w:cs="Arial"/>
          <w:sz w:val="24"/>
          <w:szCs w:val="24"/>
        </w:rPr>
        <w:t xml:space="preserve">ecialist </w:t>
      </w:r>
      <w:r w:rsidR="00ED10F4" w:rsidRPr="00D47D0E">
        <w:rPr>
          <w:rFonts w:ascii="Arial" w:hAnsi="Arial" w:cs="Arial"/>
          <w:sz w:val="24"/>
          <w:szCs w:val="24"/>
        </w:rPr>
        <w:t>physicians)</w:t>
      </w:r>
      <w:r w:rsidRPr="00D47D0E">
        <w:rPr>
          <w:rFonts w:ascii="Arial" w:hAnsi="Arial" w:cs="Arial"/>
          <w:sz w:val="24"/>
          <w:szCs w:val="24"/>
        </w:rPr>
        <w:t xml:space="preserve">. Similarly, most providers do not have multiple outpatient practice </w:t>
      </w:r>
      <w:r w:rsidR="005C08E5" w:rsidRPr="00D47D0E">
        <w:rPr>
          <w:rFonts w:ascii="Arial" w:hAnsi="Arial" w:cs="Arial"/>
          <w:sz w:val="24"/>
          <w:szCs w:val="24"/>
        </w:rPr>
        <w:t xml:space="preserve">locations </w:t>
      </w:r>
      <w:r w:rsidRPr="00D47D0E">
        <w:rPr>
          <w:rFonts w:ascii="Arial" w:hAnsi="Arial" w:cs="Arial"/>
          <w:sz w:val="24"/>
          <w:szCs w:val="24"/>
        </w:rPr>
        <w:t xml:space="preserve">that are more than 135 miles away from the primary practice address. In the rare instances in which a provider does deliver services out of multiple practice locations that would otherwise lead to a finding of inaccuracy under the practice address methodology, the Plan should be prepared to provide further information as to how the provider is delivering services </w:t>
      </w:r>
      <w:r w:rsidR="00DC6B4D" w:rsidRPr="00D47D0E">
        <w:rPr>
          <w:rFonts w:ascii="Arial" w:hAnsi="Arial" w:cs="Arial"/>
          <w:sz w:val="24"/>
          <w:szCs w:val="24"/>
        </w:rPr>
        <w:t>at all reported</w:t>
      </w:r>
      <w:r w:rsidRPr="00D47D0E">
        <w:rPr>
          <w:rFonts w:ascii="Arial" w:hAnsi="Arial" w:cs="Arial"/>
          <w:sz w:val="24"/>
          <w:szCs w:val="24"/>
        </w:rPr>
        <w:t xml:space="preserve"> </w:t>
      </w:r>
      <w:r w:rsidR="00EF46E0" w:rsidRPr="00D47D0E">
        <w:rPr>
          <w:rFonts w:ascii="Arial" w:hAnsi="Arial" w:cs="Arial"/>
          <w:sz w:val="24"/>
          <w:szCs w:val="24"/>
        </w:rPr>
        <w:t xml:space="preserve">outpatient </w:t>
      </w:r>
      <w:r w:rsidR="00DC6B4D" w:rsidRPr="00D47D0E">
        <w:rPr>
          <w:rFonts w:ascii="Arial" w:hAnsi="Arial" w:cs="Arial"/>
          <w:sz w:val="24"/>
          <w:szCs w:val="24"/>
        </w:rPr>
        <w:t xml:space="preserve">practice </w:t>
      </w:r>
      <w:r w:rsidRPr="00D47D0E">
        <w:rPr>
          <w:rFonts w:ascii="Arial" w:hAnsi="Arial" w:cs="Arial"/>
          <w:sz w:val="24"/>
          <w:szCs w:val="24"/>
        </w:rPr>
        <w:t>locations.</w:t>
      </w:r>
    </w:p>
    <w:p w14:paraId="708A548E" w14:textId="354949BD" w:rsidR="004A54CB" w:rsidRPr="00D47D0E" w:rsidRDefault="004A54CB" w:rsidP="00D47D0E">
      <w:pPr>
        <w:pStyle w:val="ListParagraph"/>
        <w:spacing w:after="240" w:line="240" w:lineRule="auto"/>
        <w:ind w:left="1080"/>
        <w:contextualSpacing w:val="0"/>
        <w:rPr>
          <w:rFonts w:ascii="Arial" w:hAnsi="Arial" w:cs="Arial"/>
          <w:sz w:val="24"/>
          <w:szCs w:val="24"/>
        </w:rPr>
      </w:pPr>
      <w:r w:rsidRPr="00D47D0E">
        <w:rPr>
          <w:rFonts w:ascii="Arial" w:hAnsi="Arial" w:cs="Arial"/>
          <w:sz w:val="24"/>
          <w:szCs w:val="24"/>
        </w:rPr>
        <w:t>Health plans can avoid reporting inaccuracies by ensuring that only current practice addresses are reported for a provider. The Annual Network Report definitions and instructions require health plans to report only one primary practice address for a provider, which is the location where the provider most often delivers in-person health care services. Health plans can report multiple secondary practice addresses at locations that meet the definition of secondary practice address. Under Rule 1300.67.2.2(b), a provider must be actively practicing at an address at least 1 day a quarter for the address to be reported as a secondary practice address.</w:t>
      </w:r>
    </w:p>
    <w:p w14:paraId="346745F6" w14:textId="214CEDDC" w:rsidR="004A54CB" w:rsidRPr="00D47D0E" w:rsidRDefault="004A54CB" w:rsidP="00D47D0E">
      <w:pPr>
        <w:pStyle w:val="ListParagraph"/>
        <w:spacing w:after="240" w:line="240" w:lineRule="auto"/>
        <w:ind w:left="1080"/>
        <w:contextualSpacing w:val="0"/>
        <w:rPr>
          <w:rFonts w:ascii="Arial" w:hAnsi="Arial" w:cs="Arial"/>
          <w:sz w:val="24"/>
          <w:szCs w:val="24"/>
        </w:rPr>
      </w:pPr>
      <w:r w:rsidRPr="00D47D0E">
        <w:rPr>
          <w:rFonts w:ascii="Arial" w:hAnsi="Arial" w:cs="Arial"/>
          <w:sz w:val="24"/>
          <w:szCs w:val="24"/>
        </w:rPr>
        <w:t xml:space="preserve">As part of its data accuracy review, the DMHC will review the Annual Network Report submission to determine if the practice addresses reported do not appear reasonable under the "Identifying Provider Location" methodology set forth in Rule 1300.67.2 and the incorporated Geographic Access Measurement Methodology. Only outpatient practice addresses are flagged under this methodology. Addresses will be flagged when two or more secondary practice addresses for a </w:t>
      </w:r>
      <w:r w:rsidR="0050293C" w:rsidRPr="00D47D0E">
        <w:rPr>
          <w:rFonts w:ascii="Arial" w:hAnsi="Arial" w:cs="Arial"/>
          <w:sz w:val="24"/>
          <w:szCs w:val="24"/>
        </w:rPr>
        <w:t xml:space="preserve">non-specialist </w:t>
      </w:r>
      <w:r w:rsidRPr="00D47D0E">
        <w:rPr>
          <w:rFonts w:ascii="Arial" w:hAnsi="Arial" w:cs="Arial"/>
          <w:sz w:val="24"/>
          <w:szCs w:val="24"/>
        </w:rPr>
        <w:t>provider are located more than 135 miles from the primary practice address, or when seven or more outpatient practice addresses are reported for a single provider.</w:t>
      </w:r>
    </w:p>
    <w:p w14:paraId="3E3C237D" w14:textId="2BD04B5B" w:rsidR="005D1677" w:rsidRPr="00D47D0E" w:rsidRDefault="004A54CB" w:rsidP="00D47D0E">
      <w:pPr>
        <w:pStyle w:val="ListParagraph"/>
        <w:spacing w:after="240" w:line="240" w:lineRule="auto"/>
        <w:ind w:left="1080"/>
        <w:contextualSpacing w:val="0"/>
        <w:rPr>
          <w:rFonts w:ascii="Arial" w:hAnsi="Arial" w:cs="Arial"/>
          <w:sz w:val="24"/>
          <w:szCs w:val="24"/>
        </w:rPr>
      </w:pPr>
      <w:r w:rsidRPr="00D47D0E">
        <w:rPr>
          <w:rFonts w:ascii="Arial" w:hAnsi="Arial" w:cs="Arial"/>
          <w:sz w:val="24"/>
          <w:szCs w:val="24"/>
        </w:rPr>
        <w:t>If a plan does not meet the requirements for accuracy using the "The Identifying Provider Location" methodology, the D</w:t>
      </w:r>
      <w:r w:rsidR="007A6CB0" w:rsidRPr="00D47D0E">
        <w:rPr>
          <w:rFonts w:ascii="Arial" w:hAnsi="Arial" w:cs="Arial"/>
          <w:sz w:val="24"/>
          <w:szCs w:val="24"/>
        </w:rPr>
        <w:t>MHC</w:t>
      </w:r>
      <w:r w:rsidRPr="00D47D0E">
        <w:rPr>
          <w:rFonts w:ascii="Arial" w:hAnsi="Arial" w:cs="Arial"/>
          <w:sz w:val="24"/>
          <w:szCs w:val="24"/>
        </w:rPr>
        <w:t xml:space="preserve"> may require the plan to provide additional information demonstrating the accuracy of the addresses reported. This may include clinical encounter data depicting the practice location, or evidence the plan personally verified the practice address. If the plan fails to provide a sufficient explanation, the DMHC may take appropriate action, including issuing</w:t>
      </w:r>
      <w:r w:rsidRPr="00D47D0E">
        <w:rPr>
          <w:rFonts w:ascii="Arial" w:hAnsi="Arial" w:cs="Arial"/>
          <w:b/>
          <w:bCs/>
          <w:sz w:val="24"/>
          <w:szCs w:val="24"/>
        </w:rPr>
        <w:t xml:space="preserve"> </w:t>
      </w:r>
      <w:r w:rsidRPr="00D47D0E">
        <w:rPr>
          <w:rFonts w:ascii="Arial" w:hAnsi="Arial" w:cs="Arial"/>
          <w:sz w:val="24"/>
          <w:szCs w:val="24"/>
        </w:rPr>
        <w:t>non-compliance determinations, requiring corrective action, taking enforcement action, or refraining from considering one or more secondary practice addresses in a network adequacy review.</w:t>
      </w:r>
    </w:p>
    <w:p w14:paraId="07FFCB6B" w14:textId="065B2099" w:rsidR="005D1677" w:rsidRPr="00D47D0E" w:rsidRDefault="005D1677" w:rsidP="00D47D0E">
      <w:pPr>
        <w:pStyle w:val="ListParagraph"/>
        <w:numPr>
          <w:ilvl w:val="0"/>
          <w:numId w:val="36"/>
        </w:numPr>
        <w:spacing w:after="240" w:line="240" w:lineRule="auto"/>
        <w:ind w:left="1080"/>
        <w:contextualSpacing w:val="0"/>
        <w:rPr>
          <w:rFonts w:ascii="Arial" w:hAnsi="Arial" w:cs="Arial"/>
          <w:b/>
          <w:bCs/>
          <w:sz w:val="24"/>
          <w:szCs w:val="24"/>
        </w:rPr>
      </w:pPr>
      <w:r w:rsidRPr="00D47D0E">
        <w:rPr>
          <w:rFonts w:ascii="Arial" w:hAnsi="Arial" w:cs="Arial"/>
          <w:b/>
          <w:bCs/>
          <w:sz w:val="24"/>
          <w:szCs w:val="24"/>
        </w:rPr>
        <w:t>The amended language in Rule 1300.67.2(c)(4)(B) states that a plan may not prevent an enrollee from selecting an in-network provider or group that is located further than the geographic distance standard. Under block transfer requirements, a plan is required to provide enrollees with reassignment to a PCP within 15 miles. How should health plans reconcile these two requirements?</w:t>
      </w:r>
    </w:p>
    <w:p w14:paraId="4E6CD3E6" w14:textId="55DAAE17" w:rsidR="005D1677" w:rsidRPr="00D47D0E" w:rsidRDefault="005D1677" w:rsidP="00D47D0E">
      <w:pPr>
        <w:pStyle w:val="ListParagraph"/>
        <w:spacing w:after="240" w:line="240" w:lineRule="auto"/>
        <w:ind w:left="1080"/>
        <w:contextualSpacing w:val="0"/>
        <w:rPr>
          <w:rFonts w:ascii="Arial" w:hAnsi="Arial" w:cs="Arial"/>
          <w:sz w:val="24"/>
          <w:szCs w:val="24"/>
        </w:rPr>
      </w:pPr>
      <w:r w:rsidRPr="00D47D0E">
        <w:rPr>
          <w:rFonts w:ascii="Arial" w:hAnsi="Arial" w:cs="Arial"/>
          <w:sz w:val="24"/>
          <w:szCs w:val="24"/>
        </w:rPr>
        <w:t>The health plan is required to make available primary care providers and other providers within applicable geographic access standards</w:t>
      </w:r>
      <w:r w:rsidR="00FB0FD5" w:rsidRPr="00D47D0E">
        <w:rPr>
          <w:rFonts w:ascii="Arial" w:hAnsi="Arial" w:cs="Arial"/>
          <w:sz w:val="24"/>
          <w:szCs w:val="24"/>
        </w:rPr>
        <w:t xml:space="preserve"> or alternative access standards where applicable</w:t>
      </w:r>
      <w:r w:rsidRPr="00D47D0E">
        <w:rPr>
          <w:rFonts w:ascii="Arial" w:hAnsi="Arial" w:cs="Arial"/>
          <w:sz w:val="24"/>
          <w:szCs w:val="24"/>
        </w:rPr>
        <w:t>. However, within the network an enrollee may choose a network provider that is further than the geographic access standard.</w:t>
      </w:r>
    </w:p>
    <w:p w14:paraId="7A282C9A" w14:textId="1759396B" w:rsidR="008506BE" w:rsidRPr="00D47D0E" w:rsidRDefault="005D1677" w:rsidP="00D47D0E">
      <w:pPr>
        <w:pStyle w:val="ListParagraph"/>
        <w:spacing w:after="240" w:line="240" w:lineRule="auto"/>
        <w:ind w:left="1080"/>
        <w:contextualSpacing w:val="0"/>
        <w:rPr>
          <w:rFonts w:ascii="Arial" w:hAnsi="Arial" w:cs="Arial"/>
          <w:sz w:val="24"/>
          <w:szCs w:val="24"/>
        </w:rPr>
      </w:pPr>
      <w:r w:rsidRPr="00D47D0E">
        <w:rPr>
          <w:rFonts w:ascii="Arial" w:hAnsi="Arial" w:cs="Arial"/>
          <w:sz w:val="24"/>
          <w:szCs w:val="24"/>
        </w:rPr>
        <w:t>For further information, refer to the definitions of "network" and "network provider" incorporated into Rule 1300.67.2(a), and defined in Rule 1300.67.2.2. Under these definitions, network providers must be available to all enrollees in all product lines using the network. The enrollee's ability to select a PCP may be subject to established processes for selecting and changing a PCP or provider group, but should not be limited by the geographic location of the enrollee or the network provider.</w:t>
      </w:r>
    </w:p>
    <w:p w14:paraId="39404723" w14:textId="180DA546" w:rsidR="008506BE" w:rsidRPr="00D47D0E" w:rsidRDefault="00C20DD3" w:rsidP="00D47D0E">
      <w:pPr>
        <w:pStyle w:val="ListParagraph"/>
        <w:numPr>
          <w:ilvl w:val="0"/>
          <w:numId w:val="36"/>
        </w:numPr>
        <w:spacing w:after="240" w:line="240" w:lineRule="auto"/>
        <w:ind w:left="1080"/>
        <w:contextualSpacing w:val="0"/>
        <w:rPr>
          <w:rFonts w:ascii="Arial" w:hAnsi="Arial" w:cs="Arial"/>
          <w:b/>
          <w:bCs/>
          <w:sz w:val="24"/>
          <w:szCs w:val="24"/>
        </w:rPr>
      </w:pPr>
      <w:r w:rsidRPr="00D47D0E">
        <w:rPr>
          <w:rFonts w:ascii="Arial" w:hAnsi="Arial" w:cs="Arial"/>
          <w:b/>
          <w:bCs/>
          <w:sz w:val="24"/>
          <w:szCs w:val="24"/>
        </w:rPr>
        <w:t>The amended network adequacy rules indicate the D</w:t>
      </w:r>
      <w:r w:rsidR="007A6CB0" w:rsidRPr="00D47D0E">
        <w:rPr>
          <w:rFonts w:ascii="Arial" w:hAnsi="Arial" w:cs="Arial"/>
          <w:b/>
          <w:bCs/>
          <w:sz w:val="24"/>
          <w:szCs w:val="24"/>
        </w:rPr>
        <w:t xml:space="preserve">MHC </w:t>
      </w:r>
      <w:r w:rsidRPr="00D47D0E">
        <w:rPr>
          <w:rFonts w:ascii="Arial" w:hAnsi="Arial" w:cs="Arial"/>
          <w:b/>
          <w:bCs/>
          <w:sz w:val="24"/>
          <w:szCs w:val="24"/>
        </w:rPr>
        <w:t>may require a plan to file a notice of material modification of the plan’s license to expand the plan’s network service area if a plan reports significant enrollment in a geographic area outside of the approved network service area. Under what circumstances would the DMHC apply this requirement?</w:t>
      </w:r>
    </w:p>
    <w:p w14:paraId="292B366B" w14:textId="102CDCB3" w:rsidR="00333160" w:rsidRPr="00D47D0E" w:rsidRDefault="00C20DD3" w:rsidP="00D47D0E">
      <w:pPr>
        <w:pStyle w:val="ListParagraph"/>
        <w:spacing w:after="240" w:line="240" w:lineRule="auto"/>
        <w:ind w:left="1080"/>
        <w:contextualSpacing w:val="0"/>
        <w:rPr>
          <w:rFonts w:ascii="Arial" w:hAnsi="Arial" w:cs="Arial"/>
          <w:sz w:val="24"/>
          <w:szCs w:val="24"/>
        </w:rPr>
      </w:pPr>
      <w:r w:rsidRPr="00D47D0E">
        <w:rPr>
          <w:rFonts w:ascii="Arial" w:hAnsi="Arial" w:cs="Arial"/>
          <w:sz w:val="24"/>
          <w:szCs w:val="24"/>
        </w:rPr>
        <w:t>An enrollee is eligible to be enrolled in a network based on the enrollee's residence or workplace, as set forth in Rules 1300.51 and 1300.67.2. When reporting enrollment for the network, health plans are required to report the ZIP Code/county that qualifies the enrollee for the network. Under the amended Rule 1300.67.2(c)(5)(A), the D</w:t>
      </w:r>
      <w:r w:rsidR="007A6CB0" w:rsidRPr="00D47D0E">
        <w:rPr>
          <w:rFonts w:ascii="Arial" w:hAnsi="Arial" w:cs="Arial"/>
          <w:sz w:val="24"/>
          <w:szCs w:val="24"/>
        </w:rPr>
        <w:t>MHC</w:t>
      </w:r>
      <w:r w:rsidRPr="00D47D0E">
        <w:rPr>
          <w:rFonts w:ascii="Arial" w:hAnsi="Arial" w:cs="Arial"/>
          <w:sz w:val="24"/>
          <w:szCs w:val="24"/>
        </w:rPr>
        <w:t xml:space="preserve"> may require the plan to file a notice of material modification to expand the network service area if a plan reports enrollment data to the D</w:t>
      </w:r>
      <w:r w:rsidR="007A6CB0" w:rsidRPr="00D47D0E">
        <w:rPr>
          <w:rFonts w:ascii="Arial" w:hAnsi="Arial" w:cs="Arial"/>
          <w:sz w:val="24"/>
          <w:szCs w:val="24"/>
        </w:rPr>
        <w:t>MHC</w:t>
      </w:r>
      <w:r w:rsidRPr="00D47D0E">
        <w:rPr>
          <w:rFonts w:ascii="Arial" w:hAnsi="Arial" w:cs="Arial"/>
          <w:sz w:val="24"/>
          <w:szCs w:val="24"/>
        </w:rPr>
        <w:t xml:space="preserve"> indicating either: One thousand (1</w:t>
      </w:r>
      <w:r w:rsidR="0050293C" w:rsidRPr="00D47D0E">
        <w:rPr>
          <w:rFonts w:ascii="Arial" w:hAnsi="Arial" w:cs="Arial"/>
          <w:sz w:val="24"/>
          <w:szCs w:val="24"/>
        </w:rPr>
        <w:t>,</w:t>
      </w:r>
      <w:r w:rsidRPr="00D47D0E">
        <w:rPr>
          <w:rFonts w:ascii="Arial" w:hAnsi="Arial" w:cs="Arial"/>
          <w:sz w:val="24"/>
          <w:szCs w:val="24"/>
        </w:rPr>
        <w:t>000) or more enrollees are located in a county outside of the network service area, or within the non-network service area portion of a county that is partially included in the network service area; or more than 10% of the network’s enrollment is outside of the network service area, and the network has 5</w:t>
      </w:r>
      <w:r w:rsidR="0050293C" w:rsidRPr="00D47D0E">
        <w:rPr>
          <w:rFonts w:ascii="Arial" w:hAnsi="Arial" w:cs="Arial"/>
          <w:sz w:val="24"/>
          <w:szCs w:val="24"/>
        </w:rPr>
        <w:t>,</w:t>
      </w:r>
      <w:r w:rsidRPr="00D47D0E">
        <w:rPr>
          <w:rFonts w:ascii="Arial" w:hAnsi="Arial" w:cs="Arial"/>
          <w:sz w:val="24"/>
          <w:szCs w:val="24"/>
        </w:rPr>
        <w:t>000 or more enrollees.</w:t>
      </w:r>
    </w:p>
    <w:p w14:paraId="3A0743CA" w14:textId="5D7DEDB0" w:rsidR="009B2BA3" w:rsidRPr="00D47D0E" w:rsidRDefault="00C20DD3" w:rsidP="00D47D0E">
      <w:pPr>
        <w:pStyle w:val="ListParagraph"/>
        <w:numPr>
          <w:ilvl w:val="0"/>
          <w:numId w:val="36"/>
        </w:numPr>
        <w:spacing w:after="240" w:line="240" w:lineRule="auto"/>
        <w:ind w:left="1080"/>
        <w:contextualSpacing w:val="0"/>
        <w:rPr>
          <w:rFonts w:ascii="Arial" w:hAnsi="Arial" w:cs="Arial"/>
          <w:sz w:val="24"/>
          <w:szCs w:val="24"/>
        </w:rPr>
      </w:pPr>
      <w:r w:rsidRPr="00D47D0E">
        <w:rPr>
          <w:rFonts w:ascii="Arial" w:hAnsi="Arial" w:cs="Arial"/>
          <w:b/>
          <w:bCs/>
          <w:sz w:val="24"/>
          <w:szCs w:val="24"/>
        </w:rPr>
        <w:t>Does the Annual Network Review evaluate clinical encounter data for all provider types?</w:t>
      </w:r>
    </w:p>
    <w:p w14:paraId="4E630F93" w14:textId="07D92F24" w:rsidR="00C20DD3" w:rsidRPr="00D47D0E" w:rsidRDefault="00C20DD3" w:rsidP="00D47D0E">
      <w:pPr>
        <w:pStyle w:val="ListParagraph"/>
        <w:spacing w:after="240" w:line="240" w:lineRule="auto"/>
        <w:ind w:left="1080"/>
        <w:contextualSpacing w:val="0"/>
        <w:rPr>
          <w:rFonts w:ascii="Arial" w:hAnsi="Arial" w:cs="Arial"/>
          <w:sz w:val="24"/>
          <w:szCs w:val="24"/>
        </w:rPr>
      </w:pPr>
      <w:r w:rsidRPr="00D47D0E">
        <w:rPr>
          <w:rFonts w:ascii="Arial" w:hAnsi="Arial" w:cs="Arial"/>
          <w:sz w:val="24"/>
          <w:szCs w:val="24"/>
        </w:rPr>
        <w:t xml:space="preserve">While the DMHC may consider clinical encounter data for all provider types as part of its annual network review, </w:t>
      </w:r>
      <w:r w:rsidR="00786E49" w:rsidRPr="00D47D0E">
        <w:rPr>
          <w:rFonts w:ascii="Arial" w:hAnsi="Arial" w:cs="Arial"/>
          <w:sz w:val="24"/>
          <w:szCs w:val="24"/>
        </w:rPr>
        <w:t xml:space="preserve">DMHC </w:t>
      </w:r>
      <w:r w:rsidRPr="00D47D0E">
        <w:rPr>
          <w:rFonts w:ascii="Arial" w:hAnsi="Arial" w:cs="Arial"/>
          <w:sz w:val="24"/>
          <w:szCs w:val="24"/>
        </w:rPr>
        <w:t>currently only reviews that data in conjunction with a health plan's mental health network. For RY 2026, the DMHC intends to evaluate a network's mental health clinical encounter data to determine if there are sufficient numbers of network providers to provide readily available mental health services. Plans may be considered by the DMHC to be non-compliant with the sufficiency and availability requirements if the network does not meet the standards and methodology in the Mental Health Utilization Standards and Methodology, incorporated in Rule 1300.67.2.</w:t>
      </w:r>
    </w:p>
    <w:p w14:paraId="5303C8F4" w14:textId="165DE92D" w:rsidR="00274B01" w:rsidRPr="00D47D0E" w:rsidRDefault="00301120" w:rsidP="00D47D0E">
      <w:pPr>
        <w:pStyle w:val="ListParagraph"/>
        <w:spacing w:after="240" w:line="240" w:lineRule="auto"/>
        <w:ind w:left="1080"/>
        <w:contextualSpacing w:val="0"/>
        <w:rPr>
          <w:rFonts w:ascii="Arial" w:hAnsi="Arial" w:cs="Arial"/>
          <w:sz w:val="24"/>
          <w:szCs w:val="24"/>
        </w:rPr>
      </w:pPr>
      <w:r w:rsidRPr="00D47D0E">
        <w:rPr>
          <w:rFonts w:ascii="Arial" w:hAnsi="Arial" w:cs="Arial"/>
          <w:sz w:val="24"/>
          <w:szCs w:val="24"/>
        </w:rPr>
        <w:t xml:space="preserve">The DMHC is not currently requiring health plans to report clinical encounter data for </w:t>
      </w:r>
      <w:r w:rsidR="006A7F2B" w:rsidRPr="00D47D0E">
        <w:rPr>
          <w:rFonts w:ascii="Arial" w:hAnsi="Arial" w:cs="Arial"/>
          <w:sz w:val="24"/>
          <w:szCs w:val="24"/>
        </w:rPr>
        <w:t xml:space="preserve">other </w:t>
      </w:r>
      <w:r w:rsidRPr="00D47D0E">
        <w:rPr>
          <w:rFonts w:ascii="Arial" w:hAnsi="Arial" w:cs="Arial"/>
          <w:sz w:val="24"/>
          <w:szCs w:val="24"/>
        </w:rPr>
        <w:t xml:space="preserve">provider types. </w:t>
      </w:r>
      <w:r w:rsidR="00C20DD3" w:rsidRPr="00D47D0E">
        <w:rPr>
          <w:rFonts w:ascii="Arial" w:hAnsi="Arial" w:cs="Arial"/>
          <w:sz w:val="24"/>
          <w:szCs w:val="24"/>
        </w:rPr>
        <w:t>For further information on the reporting of clinical encounter data, refer to FAQ No. 14 in the Frequently Asked Question Document accompanying APL 25-013 (ANR Reporting for RY 2026)</w:t>
      </w:r>
      <w:r w:rsidR="002847B6" w:rsidRPr="00D47D0E">
        <w:rPr>
          <w:rFonts w:ascii="Arial" w:hAnsi="Arial" w:cs="Arial"/>
          <w:sz w:val="24"/>
          <w:szCs w:val="24"/>
        </w:rPr>
        <w:t>.</w:t>
      </w:r>
    </w:p>
    <w:p w14:paraId="6DB7B2DB" w14:textId="35411FE4" w:rsidR="000042BE" w:rsidRPr="00D47D0E" w:rsidRDefault="000042BE" w:rsidP="00D47D0E">
      <w:pPr>
        <w:pStyle w:val="ListParagraph"/>
        <w:numPr>
          <w:ilvl w:val="0"/>
          <w:numId w:val="36"/>
        </w:numPr>
        <w:spacing w:after="240" w:line="240" w:lineRule="auto"/>
        <w:ind w:left="1080"/>
        <w:contextualSpacing w:val="0"/>
        <w:rPr>
          <w:rFonts w:ascii="Arial" w:hAnsi="Arial" w:cs="Arial"/>
          <w:b/>
          <w:bCs/>
          <w:sz w:val="24"/>
          <w:szCs w:val="24"/>
        </w:rPr>
      </w:pPr>
      <w:r w:rsidRPr="00D47D0E">
        <w:rPr>
          <w:rFonts w:ascii="Arial" w:hAnsi="Arial" w:cs="Arial"/>
          <w:b/>
          <w:bCs/>
          <w:sz w:val="24"/>
          <w:szCs w:val="24"/>
        </w:rPr>
        <w:t>How should a plan demonstrate that it is properly monitoring access to care when delegated to a subcontracted plan or medical group?</w:t>
      </w:r>
    </w:p>
    <w:p w14:paraId="37412295" w14:textId="0FEA5593" w:rsidR="00AF5E99" w:rsidRPr="00D47D0E" w:rsidRDefault="000042BE" w:rsidP="00D47D0E">
      <w:pPr>
        <w:pStyle w:val="ListParagraph"/>
        <w:spacing w:after="240" w:line="240" w:lineRule="auto"/>
        <w:ind w:left="1080"/>
        <w:contextualSpacing w:val="0"/>
        <w:rPr>
          <w:rFonts w:ascii="Arial" w:hAnsi="Arial" w:cs="Arial"/>
          <w:sz w:val="24"/>
          <w:szCs w:val="24"/>
        </w:rPr>
      </w:pPr>
      <w:r w:rsidRPr="00D47D0E">
        <w:rPr>
          <w:rFonts w:ascii="Arial" w:hAnsi="Arial" w:cs="Arial"/>
          <w:sz w:val="24"/>
          <w:szCs w:val="24"/>
        </w:rPr>
        <w:t>In accordance with existing law, including Health and Safety Code section 1367 and Rule 1300.67.2.2(a)(3) and Rule 1300.67.2(j)(2), a plan should ensure that its policy documents on file with the DMHC demonstrate that it oversees network adequacy compliance when access to care is delegated to a subcontracted plan or medical group. This includes compliance with new and updated network adequacy requirements set forth in Rules 1300.67.2.2 and 1300.67.2.</w:t>
      </w:r>
    </w:p>
    <w:p w14:paraId="56BCE00E" w14:textId="4FB1E47A" w:rsidR="00807826" w:rsidRPr="00D47D0E" w:rsidRDefault="00807826" w:rsidP="00D47D0E">
      <w:pPr>
        <w:pStyle w:val="AccessibleHeader"/>
        <w:spacing w:before="0" w:line="240" w:lineRule="auto"/>
      </w:pPr>
      <w:r w:rsidRPr="00D47D0E">
        <w:t xml:space="preserve">Amendments to Block Transfer </w:t>
      </w:r>
      <w:r w:rsidR="00F83387" w:rsidRPr="00D47D0E">
        <w:t>–</w:t>
      </w:r>
      <w:r w:rsidRPr="00D47D0E">
        <w:t xml:space="preserve"> </w:t>
      </w:r>
      <w:r w:rsidR="00F83387" w:rsidRPr="00D47D0E">
        <w:t>Rule 1300.67.1.3</w:t>
      </w:r>
    </w:p>
    <w:p w14:paraId="792D1B4C" w14:textId="2F385387" w:rsidR="00CC51BA" w:rsidRPr="00D47D0E" w:rsidRDefault="00CC51BA" w:rsidP="00D47D0E">
      <w:pPr>
        <w:pStyle w:val="ListParagraph"/>
        <w:numPr>
          <w:ilvl w:val="0"/>
          <w:numId w:val="40"/>
        </w:numPr>
        <w:spacing w:after="240" w:line="240" w:lineRule="auto"/>
        <w:ind w:left="1080"/>
        <w:contextualSpacing w:val="0"/>
        <w:rPr>
          <w:rFonts w:ascii="Arial" w:hAnsi="Arial" w:cs="Arial"/>
          <w:b/>
          <w:bCs/>
          <w:sz w:val="24"/>
          <w:szCs w:val="24"/>
        </w:rPr>
      </w:pPr>
      <w:r w:rsidRPr="00D47D0E">
        <w:rPr>
          <w:rFonts w:ascii="Arial" w:hAnsi="Arial" w:cs="Arial"/>
          <w:b/>
          <w:bCs/>
          <w:sz w:val="24"/>
          <w:szCs w:val="24"/>
        </w:rPr>
        <w:t>Will the proposed language added to Rule 1300.67.1.3(b) allow health plans to remove Terminating Providers from the health plan's provider directory prior to both the approval of the block transfer filing and the termination of the provider contract?</w:t>
      </w:r>
    </w:p>
    <w:p w14:paraId="527D3954" w14:textId="0C1AB063" w:rsidR="00CC51BA" w:rsidRPr="00D47D0E" w:rsidRDefault="00CC51BA" w:rsidP="00D47D0E">
      <w:pPr>
        <w:spacing w:after="240"/>
        <w:ind w:left="1080"/>
        <w:rPr>
          <w:rFonts w:ascii="Arial" w:hAnsi="Arial" w:cs="Arial"/>
          <w:sz w:val="24"/>
          <w:szCs w:val="24"/>
        </w:rPr>
      </w:pPr>
      <w:r w:rsidRPr="00D47D0E">
        <w:rPr>
          <w:rFonts w:ascii="Arial" w:hAnsi="Arial" w:cs="Arial"/>
          <w:sz w:val="24"/>
          <w:szCs w:val="24"/>
        </w:rPr>
        <w:t xml:space="preserve">The </w:t>
      </w:r>
      <w:r w:rsidR="007A6CB0" w:rsidRPr="00D47D0E">
        <w:rPr>
          <w:rFonts w:ascii="Arial" w:hAnsi="Arial" w:cs="Arial"/>
          <w:sz w:val="24"/>
          <w:szCs w:val="24"/>
        </w:rPr>
        <w:t>DMHC’s</w:t>
      </w:r>
      <w:r w:rsidRPr="00D47D0E">
        <w:rPr>
          <w:rFonts w:ascii="Arial" w:hAnsi="Arial" w:cs="Arial"/>
          <w:sz w:val="24"/>
          <w:szCs w:val="24"/>
        </w:rPr>
        <w:t xml:space="preserve"> proposed language, added to Rule 1300.67.1.3(b), does not modify any health plan obligations pertaining to the maintenance of a health plan's provider directory.</w:t>
      </w:r>
    </w:p>
    <w:p w14:paraId="290D3C22" w14:textId="14BE2EF8" w:rsidR="00CC51BA" w:rsidRPr="00D47D0E" w:rsidRDefault="00CC51BA" w:rsidP="00D47D0E">
      <w:pPr>
        <w:pStyle w:val="ListParagraph"/>
        <w:numPr>
          <w:ilvl w:val="0"/>
          <w:numId w:val="40"/>
        </w:numPr>
        <w:spacing w:after="240" w:line="240" w:lineRule="auto"/>
        <w:ind w:left="1080"/>
        <w:contextualSpacing w:val="0"/>
        <w:rPr>
          <w:rFonts w:ascii="Arial" w:hAnsi="Arial" w:cs="Arial"/>
          <w:b/>
          <w:bCs/>
          <w:sz w:val="24"/>
          <w:szCs w:val="24"/>
        </w:rPr>
      </w:pPr>
      <w:r w:rsidRPr="00D47D0E">
        <w:rPr>
          <w:rFonts w:ascii="Arial" w:hAnsi="Arial" w:cs="Arial"/>
          <w:b/>
          <w:bCs/>
          <w:sz w:val="24"/>
          <w:szCs w:val="24"/>
        </w:rPr>
        <w:t>Do changes to an enrollee's assignment, provider match, or association with a provider which are not the result of a contract termination count towards the 2,000-enrollee threshold in Rule 1300.67.1.3 (a)(3)(A)?</w:t>
      </w:r>
    </w:p>
    <w:p w14:paraId="7BC8BE69" w14:textId="5F1CAF5E" w:rsidR="00CC51BA" w:rsidRPr="00D47D0E" w:rsidRDefault="00CC51BA" w:rsidP="00D47D0E">
      <w:pPr>
        <w:spacing w:after="240"/>
        <w:ind w:left="1080"/>
        <w:rPr>
          <w:rFonts w:ascii="Arial" w:hAnsi="Arial" w:cs="Arial"/>
          <w:sz w:val="24"/>
          <w:szCs w:val="24"/>
        </w:rPr>
      </w:pPr>
      <w:r w:rsidRPr="00D47D0E">
        <w:rPr>
          <w:rFonts w:ascii="Arial" w:hAnsi="Arial" w:cs="Arial"/>
          <w:sz w:val="24"/>
          <w:szCs w:val="24"/>
        </w:rPr>
        <w:t>No, only those assignments, matches, association</w:t>
      </w:r>
      <w:r w:rsidR="0092577E" w:rsidRPr="00D47D0E">
        <w:rPr>
          <w:rFonts w:ascii="Arial" w:hAnsi="Arial" w:cs="Arial"/>
          <w:sz w:val="24"/>
          <w:szCs w:val="24"/>
        </w:rPr>
        <w:t>s</w:t>
      </w:r>
      <w:r w:rsidRPr="00D47D0E">
        <w:rPr>
          <w:rFonts w:ascii="Arial" w:hAnsi="Arial" w:cs="Arial"/>
          <w:sz w:val="24"/>
          <w:szCs w:val="24"/>
        </w:rPr>
        <w:t xml:space="preserve"> with, or connections to a </w:t>
      </w:r>
      <w:r w:rsidR="00FA27B7" w:rsidRPr="00D47D0E">
        <w:rPr>
          <w:rFonts w:ascii="Arial" w:hAnsi="Arial" w:cs="Arial"/>
          <w:sz w:val="24"/>
          <w:szCs w:val="24"/>
        </w:rPr>
        <w:t xml:space="preserve">current </w:t>
      </w:r>
      <w:r w:rsidRPr="00D47D0E">
        <w:rPr>
          <w:rFonts w:ascii="Arial" w:hAnsi="Arial" w:cs="Arial"/>
          <w:sz w:val="24"/>
          <w:szCs w:val="24"/>
        </w:rPr>
        <w:t>PCP which change as a result of a Contract Termination are counted towards the 2,000-enrollee threshold in Rule 1300.67.1.3(a)(3)(A).</w:t>
      </w:r>
    </w:p>
    <w:p w14:paraId="5F3DCF15" w14:textId="3E7F2842" w:rsidR="00CC51BA" w:rsidRPr="00D47D0E" w:rsidRDefault="00CC51BA" w:rsidP="00D47D0E">
      <w:pPr>
        <w:pStyle w:val="ListParagraph"/>
        <w:numPr>
          <w:ilvl w:val="0"/>
          <w:numId w:val="40"/>
        </w:numPr>
        <w:spacing w:after="240" w:line="240" w:lineRule="auto"/>
        <w:ind w:left="1080"/>
        <w:contextualSpacing w:val="0"/>
        <w:rPr>
          <w:rFonts w:ascii="Arial" w:hAnsi="Arial" w:cs="Arial"/>
          <w:b/>
          <w:bCs/>
          <w:sz w:val="24"/>
          <w:szCs w:val="24"/>
        </w:rPr>
      </w:pPr>
      <w:r w:rsidRPr="00D47D0E">
        <w:rPr>
          <w:rFonts w:ascii="Arial" w:hAnsi="Arial" w:cs="Arial"/>
          <w:b/>
          <w:bCs/>
          <w:sz w:val="24"/>
          <w:szCs w:val="24"/>
        </w:rPr>
        <w:t>Are block transfer filings required when a provider group declines to contract with a provider, provider group, facility, or other entity?</w:t>
      </w:r>
    </w:p>
    <w:p w14:paraId="613E4C17" w14:textId="6B89F0DA" w:rsidR="00CC51BA" w:rsidRPr="00D47D0E" w:rsidRDefault="00CC51BA" w:rsidP="00D47D0E">
      <w:pPr>
        <w:spacing w:after="240"/>
        <w:ind w:left="1080"/>
        <w:rPr>
          <w:rFonts w:ascii="Arial" w:hAnsi="Arial" w:cs="Arial"/>
          <w:sz w:val="24"/>
          <w:szCs w:val="24"/>
        </w:rPr>
      </w:pPr>
      <w:r w:rsidRPr="00D47D0E">
        <w:rPr>
          <w:rFonts w:ascii="Arial" w:hAnsi="Arial" w:cs="Arial"/>
          <w:sz w:val="24"/>
          <w:szCs w:val="24"/>
        </w:rPr>
        <w:t>No, a block transfer filing is only required when there is a pending contract termination between a health plan and a hospital, medical group, or plan-contracted entity. Please see Rule 1300.67.1.3(a)(3) for the definition of "</w:t>
      </w:r>
      <w:r w:rsidR="00CA2E7C" w:rsidRPr="00D47D0E">
        <w:rPr>
          <w:rFonts w:ascii="Arial" w:hAnsi="Arial" w:cs="Arial"/>
          <w:sz w:val="24"/>
          <w:szCs w:val="24"/>
        </w:rPr>
        <w:t>Block Transfer</w:t>
      </w:r>
      <w:r w:rsidRPr="00D47D0E">
        <w:rPr>
          <w:rFonts w:ascii="Arial" w:hAnsi="Arial" w:cs="Arial"/>
          <w:sz w:val="24"/>
          <w:szCs w:val="24"/>
        </w:rPr>
        <w:t xml:space="preserve">" and a list of instances which require health plans to </w:t>
      </w:r>
      <w:r w:rsidR="00CA2E7C" w:rsidRPr="00D47D0E">
        <w:rPr>
          <w:rFonts w:ascii="Arial" w:hAnsi="Arial" w:cs="Arial"/>
          <w:sz w:val="24"/>
          <w:szCs w:val="24"/>
        </w:rPr>
        <w:t xml:space="preserve">submit Block Transfer </w:t>
      </w:r>
      <w:r w:rsidRPr="00D47D0E">
        <w:rPr>
          <w:rFonts w:ascii="Arial" w:hAnsi="Arial" w:cs="Arial"/>
          <w:sz w:val="24"/>
          <w:szCs w:val="24"/>
        </w:rPr>
        <w:t>filings. Please also see Rule 1300.67.1.3(a)(4) for the definition of "</w:t>
      </w:r>
      <w:r w:rsidR="00E77A70" w:rsidRPr="00D47D0E">
        <w:rPr>
          <w:rFonts w:ascii="Arial" w:hAnsi="Arial" w:cs="Arial"/>
          <w:sz w:val="24"/>
          <w:szCs w:val="24"/>
        </w:rPr>
        <w:t>Contract Termination</w:t>
      </w:r>
      <w:r w:rsidRPr="00D47D0E">
        <w:rPr>
          <w:rFonts w:ascii="Arial" w:hAnsi="Arial" w:cs="Arial"/>
          <w:sz w:val="24"/>
          <w:szCs w:val="24"/>
        </w:rPr>
        <w:t>."</w:t>
      </w:r>
    </w:p>
    <w:p w14:paraId="2DFA0B0A" w14:textId="69468F6D" w:rsidR="00CC51BA" w:rsidRPr="00D47D0E" w:rsidRDefault="00CC51BA" w:rsidP="00D47D0E">
      <w:pPr>
        <w:pStyle w:val="ListParagraph"/>
        <w:numPr>
          <w:ilvl w:val="0"/>
          <w:numId w:val="40"/>
        </w:numPr>
        <w:spacing w:after="240" w:line="240" w:lineRule="auto"/>
        <w:ind w:left="1080"/>
        <w:contextualSpacing w:val="0"/>
        <w:rPr>
          <w:rFonts w:ascii="Arial" w:hAnsi="Arial" w:cs="Arial"/>
          <w:b/>
          <w:bCs/>
          <w:sz w:val="24"/>
          <w:szCs w:val="24"/>
        </w:rPr>
      </w:pPr>
      <w:r w:rsidRPr="00D47D0E">
        <w:rPr>
          <w:rFonts w:ascii="Arial" w:hAnsi="Arial" w:cs="Arial"/>
          <w:b/>
          <w:bCs/>
          <w:sz w:val="24"/>
          <w:szCs w:val="24"/>
        </w:rPr>
        <w:t>Do the font size requirements apply to the entirety of the Enrollee Transfer Notice or just the language required by Section 1373.65 and Rule 1300.67.1.3?</w:t>
      </w:r>
    </w:p>
    <w:p w14:paraId="6C863BB2" w14:textId="77777777" w:rsidR="00CC51BA" w:rsidRPr="00D47D0E" w:rsidRDefault="00CC51BA" w:rsidP="00D47D0E">
      <w:pPr>
        <w:spacing w:after="240"/>
        <w:ind w:left="1080"/>
        <w:rPr>
          <w:rFonts w:ascii="Arial" w:hAnsi="Arial" w:cs="Arial"/>
          <w:sz w:val="24"/>
          <w:szCs w:val="24"/>
        </w:rPr>
      </w:pPr>
      <w:r w:rsidRPr="00D47D0E">
        <w:rPr>
          <w:rFonts w:ascii="Arial" w:hAnsi="Arial" w:cs="Arial"/>
          <w:sz w:val="24"/>
          <w:szCs w:val="24"/>
        </w:rPr>
        <w:t>The Act contains a variety of requirements related to the formatting of notices and disclosures. The requirements related to font size in Rule 1300.67.1.3 currently apply to the specific disclosure required by that section. Health plans should ensure that all notices, disclosures, and the like are formatted consistently with the requirements of the Act.</w:t>
      </w:r>
    </w:p>
    <w:p w14:paraId="7C1EC4C4" w14:textId="08CD8535" w:rsidR="00CD7255" w:rsidRPr="00D47D0E" w:rsidRDefault="00C256FB" w:rsidP="00D47D0E">
      <w:pPr>
        <w:pStyle w:val="AccessibleHeader"/>
        <w:spacing w:before="0" w:line="240" w:lineRule="auto"/>
      </w:pPr>
      <w:r w:rsidRPr="00D47D0E">
        <w:t>Geographic Access</w:t>
      </w:r>
      <w:r w:rsidR="00961976" w:rsidRPr="00D47D0E">
        <w:t xml:space="preserve"> Standards</w:t>
      </w:r>
      <w:r w:rsidR="0081685E" w:rsidRPr="00D47D0E">
        <w:t xml:space="preserve"> and Methodology</w:t>
      </w:r>
    </w:p>
    <w:p w14:paraId="284CB516" w14:textId="2CCA06D0" w:rsidR="00C90BCF" w:rsidRPr="00D47D0E" w:rsidRDefault="00A37374" w:rsidP="00D47D0E">
      <w:pPr>
        <w:pStyle w:val="ListParagraph"/>
        <w:numPr>
          <w:ilvl w:val="0"/>
          <w:numId w:val="35"/>
        </w:numPr>
        <w:spacing w:after="240" w:line="240" w:lineRule="auto"/>
        <w:contextualSpacing w:val="0"/>
        <w:rPr>
          <w:rFonts w:ascii="Arial" w:hAnsi="Arial" w:cs="Arial"/>
          <w:sz w:val="24"/>
          <w:szCs w:val="24"/>
        </w:rPr>
      </w:pPr>
      <w:r w:rsidRPr="00D47D0E">
        <w:rPr>
          <w:rFonts w:ascii="Arial" w:hAnsi="Arial" w:cs="Arial"/>
          <w:b/>
          <w:bCs/>
          <w:sz w:val="24"/>
          <w:szCs w:val="24"/>
        </w:rPr>
        <w:t xml:space="preserve">Do the new geographic access standards impact the 15-mile or 30-minute geographic access standard for </w:t>
      </w:r>
      <w:r w:rsidR="00292833" w:rsidRPr="00D47D0E">
        <w:rPr>
          <w:rFonts w:ascii="Arial" w:hAnsi="Arial" w:cs="Arial"/>
          <w:b/>
          <w:bCs/>
          <w:sz w:val="24"/>
          <w:szCs w:val="24"/>
        </w:rPr>
        <w:t xml:space="preserve">primary care providers </w:t>
      </w:r>
      <w:r w:rsidRPr="00D47D0E">
        <w:rPr>
          <w:rFonts w:ascii="Arial" w:hAnsi="Arial" w:cs="Arial"/>
          <w:b/>
          <w:bCs/>
          <w:sz w:val="24"/>
          <w:szCs w:val="24"/>
        </w:rPr>
        <w:t xml:space="preserve">and </w:t>
      </w:r>
      <w:r w:rsidR="00292833" w:rsidRPr="00D47D0E">
        <w:rPr>
          <w:rFonts w:ascii="Arial" w:hAnsi="Arial" w:cs="Arial"/>
          <w:b/>
          <w:bCs/>
          <w:sz w:val="24"/>
          <w:szCs w:val="24"/>
        </w:rPr>
        <w:t>h</w:t>
      </w:r>
      <w:r w:rsidRPr="00D47D0E">
        <w:rPr>
          <w:rFonts w:ascii="Arial" w:hAnsi="Arial" w:cs="Arial"/>
          <w:b/>
          <w:bCs/>
          <w:sz w:val="24"/>
          <w:szCs w:val="24"/>
        </w:rPr>
        <w:t>ospitals?</w:t>
      </w:r>
    </w:p>
    <w:p w14:paraId="770AB6E1" w14:textId="2314FD1F" w:rsidR="00043195" w:rsidRPr="00D47D0E" w:rsidRDefault="00043195" w:rsidP="00D47D0E">
      <w:pPr>
        <w:pStyle w:val="ListParagraph"/>
        <w:spacing w:after="240" w:line="240" w:lineRule="auto"/>
        <w:ind w:left="1080"/>
        <w:contextualSpacing w:val="0"/>
        <w:rPr>
          <w:rFonts w:ascii="Arial" w:hAnsi="Arial" w:cs="Arial"/>
          <w:sz w:val="24"/>
          <w:szCs w:val="24"/>
        </w:rPr>
      </w:pPr>
      <w:r w:rsidRPr="00D47D0E">
        <w:rPr>
          <w:rFonts w:ascii="Arial" w:hAnsi="Arial" w:cs="Arial"/>
          <w:sz w:val="24"/>
          <w:szCs w:val="24"/>
        </w:rPr>
        <w:t xml:space="preserve">The recent regulatory amendments do not change requirements for geographic access to primary care providers and hospitals. </w:t>
      </w:r>
      <w:r w:rsidR="00C70AFE" w:rsidRPr="00D47D0E">
        <w:rPr>
          <w:rFonts w:ascii="Arial" w:hAnsi="Arial" w:cs="Arial"/>
          <w:sz w:val="24"/>
          <w:szCs w:val="24"/>
        </w:rPr>
        <w:t xml:space="preserve">Rule 1300.67.2(c)(3) reaffirms that the 15 mile or 30 minute geographic accessibility standards for </w:t>
      </w:r>
      <w:r w:rsidR="004233C3" w:rsidRPr="00D47D0E">
        <w:rPr>
          <w:rFonts w:ascii="Arial" w:hAnsi="Arial" w:cs="Arial"/>
          <w:sz w:val="24"/>
          <w:szCs w:val="24"/>
        </w:rPr>
        <w:t>primary care providers</w:t>
      </w:r>
      <w:r w:rsidR="00C70AFE" w:rsidRPr="00D47D0E">
        <w:rPr>
          <w:rFonts w:ascii="Arial" w:hAnsi="Arial" w:cs="Arial"/>
          <w:sz w:val="24"/>
          <w:szCs w:val="24"/>
        </w:rPr>
        <w:t xml:space="preserve"> and hospitals set forth in Rule 1300.51(d), Item H, are the standards a plan must meet to demonstrate compliance with the Act in all areas of network review, including annual network review and licensure filings.</w:t>
      </w:r>
    </w:p>
    <w:p w14:paraId="13EC525F" w14:textId="64E594FD" w:rsidR="00043195" w:rsidRPr="00D47D0E" w:rsidRDefault="00043195" w:rsidP="00D47D0E">
      <w:pPr>
        <w:pStyle w:val="ListParagraph"/>
        <w:spacing w:after="240" w:line="240" w:lineRule="auto"/>
        <w:ind w:left="1080"/>
        <w:contextualSpacing w:val="0"/>
        <w:rPr>
          <w:rFonts w:ascii="Arial" w:hAnsi="Arial" w:cs="Arial"/>
          <w:sz w:val="24"/>
          <w:szCs w:val="24"/>
        </w:rPr>
      </w:pPr>
      <w:r w:rsidRPr="00D47D0E">
        <w:rPr>
          <w:rFonts w:ascii="Arial" w:hAnsi="Arial" w:cs="Arial"/>
          <w:sz w:val="24"/>
          <w:szCs w:val="24"/>
        </w:rPr>
        <w:t>When determining compliance with geographic access standards, the DMHC relies upon the methodology set forth in the document entitled Geographic Access Measurement Methodology, which is incorporated by reference in Rule 1300.67.2.</w:t>
      </w:r>
    </w:p>
    <w:p w14:paraId="165CEF02" w14:textId="78352E2E" w:rsidR="00FE73FB" w:rsidRPr="00D47D0E" w:rsidRDefault="00043195" w:rsidP="00D47D0E">
      <w:pPr>
        <w:pStyle w:val="ListParagraph"/>
        <w:spacing w:after="240" w:line="240" w:lineRule="auto"/>
        <w:ind w:left="1080"/>
        <w:contextualSpacing w:val="0"/>
        <w:rPr>
          <w:rFonts w:ascii="Arial" w:hAnsi="Arial" w:cs="Arial"/>
          <w:sz w:val="24"/>
          <w:szCs w:val="24"/>
        </w:rPr>
      </w:pPr>
      <w:r w:rsidRPr="00D47D0E">
        <w:rPr>
          <w:rFonts w:ascii="Arial" w:hAnsi="Arial" w:cs="Arial"/>
          <w:sz w:val="24"/>
          <w:szCs w:val="24"/>
        </w:rPr>
        <w:t>The DMHC will continue to evaluate in the future whether changes to existing geographic access requirements are warranted.</w:t>
      </w:r>
    </w:p>
    <w:p w14:paraId="15351E43" w14:textId="77777777" w:rsidR="00A235A2" w:rsidRPr="00D47D0E" w:rsidRDefault="00A235A2" w:rsidP="00D47D0E">
      <w:pPr>
        <w:pStyle w:val="ListParagraph"/>
        <w:numPr>
          <w:ilvl w:val="0"/>
          <w:numId w:val="35"/>
        </w:numPr>
        <w:spacing w:after="240" w:line="240" w:lineRule="auto"/>
        <w:contextualSpacing w:val="0"/>
        <w:rPr>
          <w:rFonts w:ascii="Arial" w:hAnsi="Arial" w:cs="Arial"/>
          <w:b/>
          <w:bCs/>
          <w:sz w:val="24"/>
          <w:szCs w:val="24"/>
        </w:rPr>
      </w:pPr>
      <w:r w:rsidRPr="00D47D0E">
        <w:rPr>
          <w:rFonts w:ascii="Arial" w:hAnsi="Arial" w:cs="Arial"/>
          <w:b/>
          <w:bCs/>
          <w:sz w:val="24"/>
          <w:szCs w:val="24"/>
        </w:rPr>
        <w:t>What scenarios will constitute adequate "significant" changes under the amended Rule 1300.67.2(c)(3)(A) to require a health plan to file a request to renew or update previously approved alternative standards of accessibility?</w:t>
      </w:r>
    </w:p>
    <w:p w14:paraId="68FB508B" w14:textId="7C1ED527" w:rsidR="00A235A2" w:rsidRPr="00D47D0E" w:rsidRDefault="00A235A2" w:rsidP="00D47D0E">
      <w:pPr>
        <w:spacing w:after="240"/>
        <w:ind w:left="1080"/>
        <w:rPr>
          <w:rFonts w:ascii="Arial" w:hAnsi="Arial" w:cs="Arial"/>
          <w:b/>
          <w:bCs/>
          <w:sz w:val="24"/>
          <w:szCs w:val="24"/>
        </w:rPr>
      </w:pPr>
      <w:r w:rsidRPr="00D47D0E">
        <w:rPr>
          <w:rFonts w:ascii="Arial" w:hAnsi="Arial" w:cs="Arial"/>
          <w:sz w:val="24"/>
          <w:szCs w:val="24"/>
        </w:rPr>
        <w:t>As indicated in subsections 1300.67.2(c)(3)(A)(i)-(iv), a health plan is required to update its alternative access standard requests pursuant to Rule 1300.67.2.1 when more than three years have passed since the prior standard’s approval, changes have been made to the annual list of DMHC-recognized ZIP Code/Counties, legal changes are made to underlying standard evaluation methodologies, or other information demonstrates that previously-approved alternative standards are no longer justified for a particular region. The DMHC anticipates that the overwhelming majority of updated requests will be no more frequent than every three years and does not anticipate regularly requiring resubmissions at a cadence beyond that outside of extraordinary circumstances.</w:t>
      </w:r>
    </w:p>
    <w:p w14:paraId="43B38186" w14:textId="596675BD" w:rsidR="00FE73FB" w:rsidRPr="00D47D0E" w:rsidRDefault="00413909" w:rsidP="00D47D0E">
      <w:pPr>
        <w:pStyle w:val="ListParagraph"/>
        <w:numPr>
          <w:ilvl w:val="0"/>
          <w:numId w:val="35"/>
        </w:numPr>
        <w:spacing w:after="240" w:line="240" w:lineRule="auto"/>
        <w:contextualSpacing w:val="0"/>
        <w:rPr>
          <w:rFonts w:ascii="Arial" w:hAnsi="Arial" w:cs="Arial"/>
          <w:b/>
          <w:bCs/>
          <w:sz w:val="24"/>
          <w:szCs w:val="24"/>
        </w:rPr>
      </w:pPr>
      <w:r w:rsidRPr="00D47D0E">
        <w:rPr>
          <w:rFonts w:ascii="Arial" w:hAnsi="Arial" w:cs="Arial"/>
          <w:b/>
          <w:bCs/>
          <w:sz w:val="24"/>
          <w:szCs w:val="24"/>
        </w:rPr>
        <w:t>Why has the DMHC established distance standards for emergency medicine physicians and emergency room services?</w:t>
      </w:r>
    </w:p>
    <w:p w14:paraId="6E00F88A" w14:textId="01FD49E4" w:rsidR="00304301" w:rsidRPr="00D47D0E" w:rsidRDefault="00FE73FB" w:rsidP="00D47D0E">
      <w:pPr>
        <w:pStyle w:val="ListParagraph"/>
        <w:spacing w:after="240" w:line="240" w:lineRule="auto"/>
        <w:ind w:left="1080"/>
        <w:contextualSpacing w:val="0"/>
        <w:rPr>
          <w:rFonts w:ascii="Arial" w:hAnsi="Arial" w:cs="Arial"/>
          <w:sz w:val="24"/>
          <w:szCs w:val="24"/>
        </w:rPr>
      </w:pPr>
      <w:r w:rsidRPr="00D47D0E">
        <w:rPr>
          <w:rFonts w:ascii="Arial" w:hAnsi="Arial" w:cs="Arial"/>
          <w:sz w:val="24"/>
          <w:szCs w:val="24"/>
        </w:rPr>
        <w:t>The DMHC included emergency medicine physicians in our geographic access standards to achieve alignment with the CMS standards for state-facilitated exchanges. The CMS standards also include a distance standard for general acute ca</w:t>
      </w:r>
      <w:r w:rsidR="00C304A4" w:rsidRPr="00D47D0E">
        <w:rPr>
          <w:rFonts w:ascii="Arial" w:hAnsi="Arial" w:cs="Arial"/>
          <w:sz w:val="24"/>
          <w:szCs w:val="24"/>
        </w:rPr>
        <w:t>r</w:t>
      </w:r>
      <w:r w:rsidRPr="00D47D0E">
        <w:rPr>
          <w:rFonts w:ascii="Arial" w:hAnsi="Arial" w:cs="Arial"/>
          <w:sz w:val="24"/>
          <w:szCs w:val="24"/>
        </w:rPr>
        <w:t xml:space="preserve">e hospitals that include an emergency room 24/7. In order to avoid conflict with the federal standards applicable to a number of health plans licensed with the DMHC, </w:t>
      </w:r>
      <w:r w:rsidR="001976B5" w:rsidRPr="00D47D0E">
        <w:rPr>
          <w:rFonts w:ascii="Arial" w:hAnsi="Arial" w:cs="Arial"/>
          <w:sz w:val="24"/>
          <w:szCs w:val="24"/>
        </w:rPr>
        <w:t xml:space="preserve">the </w:t>
      </w:r>
      <w:r w:rsidR="007F4F09" w:rsidRPr="00D47D0E">
        <w:rPr>
          <w:rFonts w:ascii="Arial" w:hAnsi="Arial" w:cs="Arial"/>
          <w:sz w:val="24"/>
          <w:szCs w:val="24"/>
        </w:rPr>
        <w:t>recent amendments to Rule 1300.67.2 establish</w:t>
      </w:r>
      <w:r w:rsidRPr="00D47D0E">
        <w:rPr>
          <w:rFonts w:ascii="Arial" w:hAnsi="Arial" w:cs="Arial"/>
          <w:sz w:val="24"/>
          <w:szCs w:val="24"/>
        </w:rPr>
        <w:t xml:space="preserve"> California-specific standards for these provider types that Covered C</w:t>
      </w:r>
      <w:r w:rsidR="007F4F09" w:rsidRPr="00D47D0E">
        <w:rPr>
          <w:rFonts w:ascii="Arial" w:hAnsi="Arial" w:cs="Arial"/>
          <w:sz w:val="24"/>
          <w:szCs w:val="24"/>
        </w:rPr>
        <w:t>alifornia</w:t>
      </w:r>
      <w:r w:rsidRPr="00D47D0E">
        <w:rPr>
          <w:rFonts w:ascii="Arial" w:hAnsi="Arial" w:cs="Arial"/>
          <w:sz w:val="24"/>
          <w:szCs w:val="24"/>
        </w:rPr>
        <w:t xml:space="preserve"> may rely upon when certifying plans for participation on the Exchange.</w:t>
      </w:r>
    </w:p>
    <w:p w14:paraId="59A0DF2A" w14:textId="4D1BEE4A" w:rsidR="00F35AE8" w:rsidRPr="00D47D0E" w:rsidRDefault="00B74458" w:rsidP="00D47D0E">
      <w:pPr>
        <w:pStyle w:val="ListParagraph"/>
        <w:numPr>
          <w:ilvl w:val="0"/>
          <w:numId w:val="35"/>
        </w:numPr>
        <w:spacing w:after="240" w:line="240" w:lineRule="auto"/>
        <w:contextualSpacing w:val="0"/>
        <w:rPr>
          <w:rFonts w:ascii="Arial" w:hAnsi="Arial" w:cs="Arial"/>
          <w:b/>
          <w:bCs/>
          <w:sz w:val="24"/>
          <w:szCs w:val="24"/>
        </w:rPr>
      </w:pPr>
      <w:r w:rsidRPr="00D47D0E">
        <w:rPr>
          <w:rFonts w:ascii="Arial" w:hAnsi="Arial" w:cs="Arial"/>
          <w:b/>
          <w:bCs/>
          <w:sz w:val="24"/>
          <w:szCs w:val="24"/>
        </w:rPr>
        <w:t>In addition to the</w:t>
      </w:r>
      <w:r w:rsidR="00304301" w:rsidRPr="00D47D0E">
        <w:rPr>
          <w:rFonts w:ascii="Arial" w:hAnsi="Arial" w:cs="Arial"/>
          <w:b/>
          <w:bCs/>
          <w:sz w:val="24"/>
          <w:szCs w:val="24"/>
        </w:rPr>
        <w:t xml:space="preserve"> geographic access standards for specialists and facilities</w:t>
      </w:r>
      <w:r w:rsidR="00DB13EC" w:rsidRPr="00D47D0E">
        <w:rPr>
          <w:rFonts w:ascii="Arial" w:hAnsi="Arial" w:cs="Arial"/>
          <w:b/>
          <w:bCs/>
          <w:sz w:val="24"/>
          <w:szCs w:val="24"/>
        </w:rPr>
        <w:t xml:space="preserve"> </w:t>
      </w:r>
      <w:r w:rsidRPr="00D47D0E">
        <w:rPr>
          <w:rFonts w:ascii="Arial" w:hAnsi="Arial" w:cs="Arial"/>
          <w:b/>
          <w:bCs/>
          <w:sz w:val="24"/>
          <w:szCs w:val="24"/>
        </w:rPr>
        <w:t>to</w:t>
      </w:r>
      <w:r w:rsidR="007A1303" w:rsidRPr="00D47D0E">
        <w:rPr>
          <w:rFonts w:ascii="Arial" w:hAnsi="Arial" w:cs="Arial"/>
          <w:b/>
          <w:bCs/>
          <w:sz w:val="24"/>
          <w:szCs w:val="24"/>
        </w:rPr>
        <w:t xml:space="preserve"> meet network adequacy</w:t>
      </w:r>
      <w:r w:rsidR="004F6EC8" w:rsidRPr="00D47D0E">
        <w:rPr>
          <w:rFonts w:ascii="Arial" w:hAnsi="Arial" w:cs="Arial"/>
          <w:b/>
          <w:bCs/>
          <w:sz w:val="24"/>
          <w:szCs w:val="24"/>
        </w:rPr>
        <w:t xml:space="preserve"> </w:t>
      </w:r>
      <w:r w:rsidR="00DB13EC" w:rsidRPr="00D47D0E">
        <w:rPr>
          <w:rFonts w:ascii="Arial" w:hAnsi="Arial" w:cs="Arial"/>
          <w:b/>
          <w:bCs/>
          <w:sz w:val="24"/>
          <w:szCs w:val="24"/>
        </w:rPr>
        <w:t>in Rule 1300.67.2(c)(3)</w:t>
      </w:r>
      <w:r w:rsidR="00304301" w:rsidRPr="00D47D0E">
        <w:rPr>
          <w:rFonts w:ascii="Arial" w:hAnsi="Arial" w:cs="Arial"/>
          <w:b/>
          <w:bCs/>
          <w:sz w:val="24"/>
          <w:szCs w:val="24"/>
        </w:rPr>
        <w:t>,</w:t>
      </w:r>
      <w:r w:rsidRPr="00D47D0E">
        <w:rPr>
          <w:rFonts w:ascii="Arial" w:hAnsi="Arial" w:cs="Arial"/>
          <w:b/>
          <w:bCs/>
          <w:sz w:val="24"/>
          <w:szCs w:val="24"/>
        </w:rPr>
        <w:t xml:space="preserve"> why </w:t>
      </w:r>
      <w:r w:rsidR="00C27444" w:rsidRPr="00D47D0E">
        <w:rPr>
          <w:rFonts w:ascii="Arial" w:hAnsi="Arial" w:cs="Arial"/>
          <w:b/>
          <w:bCs/>
          <w:sz w:val="24"/>
          <w:szCs w:val="24"/>
        </w:rPr>
        <w:t>is</w:t>
      </w:r>
      <w:r w:rsidRPr="00D47D0E">
        <w:rPr>
          <w:rFonts w:ascii="Arial" w:hAnsi="Arial" w:cs="Arial"/>
          <w:b/>
          <w:bCs/>
          <w:sz w:val="24"/>
          <w:szCs w:val="24"/>
        </w:rPr>
        <w:t xml:space="preserve"> there </w:t>
      </w:r>
      <w:r w:rsidR="00C27444" w:rsidRPr="00D47D0E">
        <w:rPr>
          <w:rFonts w:ascii="Arial" w:hAnsi="Arial" w:cs="Arial"/>
          <w:b/>
          <w:bCs/>
          <w:sz w:val="24"/>
          <w:szCs w:val="24"/>
        </w:rPr>
        <w:t>also a distance</w:t>
      </w:r>
      <w:r w:rsidR="00304301" w:rsidRPr="00D47D0E">
        <w:rPr>
          <w:rFonts w:ascii="Arial" w:hAnsi="Arial" w:cs="Arial"/>
          <w:b/>
          <w:bCs/>
          <w:sz w:val="24"/>
          <w:szCs w:val="24"/>
        </w:rPr>
        <w:t xml:space="preserve"> requirement</w:t>
      </w:r>
      <w:r w:rsidR="00993EB3" w:rsidRPr="00D47D0E">
        <w:rPr>
          <w:rFonts w:ascii="Arial" w:hAnsi="Arial" w:cs="Arial"/>
          <w:b/>
          <w:bCs/>
          <w:sz w:val="24"/>
          <w:szCs w:val="24"/>
        </w:rPr>
        <w:t xml:space="preserve"> </w:t>
      </w:r>
      <w:r w:rsidR="00C27444" w:rsidRPr="00D47D0E">
        <w:rPr>
          <w:rFonts w:ascii="Arial" w:hAnsi="Arial" w:cs="Arial"/>
          <w:b/>
          <w:bCs/>
          <w:sz w:val="24"/>
          <w:szCs w:val="24"/>
        </w:rPr>
        <w:t xml:space="preserve">of </w:t>
      </w:r>
      <w:r w:rsidR="00993EB3" w:rsidRPr="00D47D0E">
        <w:rPr>
          <w:rFonts w:ascii="Arial" w:hAnsi="Arial" w:cs="Arial"/>
          <w:b/>
          <w:bCs/>
          <w:sz w:val="24"/>
          <w:szCs w:val="24"/>
        </w:rPr>
        <w:t>within 30 miles</w:t>
      </w:r>
      <w:r w:rsidR="00304301" w:rsidRPr="00D47D0E">
        <w:rPr>
          <w:rFonts w:ascii="Arial" w:hAnsi="Arial" w:cs="Arial"/>
          <w:b/>
          <w:bCs/>
          <w:sz w:val="24"/>
          <w:szCs w:val="24"/>
        </w:rPr>
        <w:t xml:space="preserve"> </w:t>
      </w:r>
      <w:r w:rsidR="00944CA6" w:rsidRPr="00D47D0E">
        <w:rPr>
          <w:rFonts w:ascii="Arial" w:hAnsi="Arial" w:cs="Arial"/>
          <w:b/>
          <w:bCs/>
          <w:sz w:val="24"/>
          <w:szCs w:val="24"/>
        </w:rPr>
        <w:t>for</w:t>
      </w:r>
      <w:r w:rsidR="00FA4AA1" w:rsidRPr="00D47D0E">
        <w:rPr>
          <w:rFonts w:ascii="Arial" w:hAnsi="Arial" w:cs="Arial"/>
          <w:b/>
          <w:bCs/>
          <w:sz w:val="24"/>
          <w:szCs w:val="24"/>
        </w:rPr>
        <w:t xml:space="preserve"> </w:t>
      </w:r>
      <w:r w:rsidR="00304301" w:rsidRPr="00D47D0E">
        <w:rPr>
          <w:rFonts w:ascii="Arial" w:hAnsi="Arial" w:cs="Arial"/>
          <w:b/>
          <w:bCs/>
          <w:sz w:val="24"/>
          <w:szCs w:val="24"/>
        </w:rPr>
        <w:t>individual enrollee</w:t>
      </w:r>
      <w:r w:rsidR="00944CA6" w:rsidRPr="00D47D0E">
        <w:rPr>
          <w:rFonts w:ascii="Arial" w:hAnsi="Arial" w:cs="Arial"/>
          <w:b/>
          <w:bCs/>
          <w:sz w:val="24"/>
          <w:szCs w:val="24"/>
        </w:rPr>
        <w:t>s</w:t>
      </w:r>
      <w:r w:rsidR="006B14EB" w:rsidRPr="00D47D0E">
        <w:rPr>
          <w:rFonts w:ascii="Arial" w:hAnsi="Arial" w:cs="Arial"/>
          <w:b/>
          <w:bCs/>
          <w:sz w:val="24"/>
          <w:szCs w:val="24"/>
        </w:rPr>
        <w:t xml:space="preserve"> when a provider is available at that distance</w:t>
      </w:r>
      <w:r w:rsidR="0066706D" w:rsidRPr="00D47D0E">
        <w:rPr>
          <w:rFonts w:ascii="Arial" w:hAnsi="Arial" w:cs="Arial"/>
          <w:b/>
          <w:bCs/>
          <w:sz w:val="24"/>
          <w:szCs w:val="24"/>
        </w:rPr>
        <w:t>, as described in Rule 1300.67.2(k)</w:t>
      </w:r>
      <w:r w:rsidR="00304301" w:rsidRPr="00D47D0E">
        <w:rPr>
          <w:rFonts w:ascii="Arial" w:hAnsi="Arial" w:cs="Arial"/>
          <w:b/>
          <w:bCs/>
          <w:sz w:val="24"/>
          <w:szCs w:val="24"/>
        </w:rPr>
        <w:t>?</w:t>
      </w:r>
    </w:p>
    <w:p w14:paraId="3C556381" w14:textId="71934FB7" w:rsidR="003A091B" w:rsidRPr="00D47D0E" w:rsidRDefault="003A091B" w:rsidP="00D47D0E">
      <w:pPr>
        <w:pStyle w:val="ListParagraph"/>
        <w:spacing w:after="240" w:line="240" w:lineRule="auto"/>
        <w:ind w:left="1080"/>
        <w:contextualSpacing w:val="0"/>
        <w:rPr>
          <w:rFonts w:ascii="Arial" w:hAnsi="Arial" w:cs="Arial"/>
          <w:sz w:val="24"/>
          <w:szCs w:val="24"/>
        </w:rPr>
      </w:pPr>
      <w:r w:rsidRPr="00D47D0E">
        <w:rPr>
          <w:rFonts w:ascii="Arial" w:hAnsi="Arial" w:cs="Arial"/>
          <w:sz w:val="24"/>
          <w:szCs w:val="24"/>
        </w:rPr>
        <w:t xml:space="preserve">The network level geographic access standards set forth in the </w:t>
      </w:r>
      <w:r w:rsidR="007569CE">
        <w:rPr>
          <w:rFonts w:ascii="Arial" w:hAnsi="Arial" w:cs="Arial"/>
          <w:sz w:val="24"/>
          <w:szCs w:val="24"/>
        </w:rPr>
        <w:t>g</w:t>
      </w:r>
      <w:r w:rsidRPr="00D47D0E">
        <w:rPr>
          <w:rFonts w:ascii="Arial" w:hAnsi="Arial" w:cs="Arial"/>
          <w:sz w:val="24"/>
          <w:szCs w:val="24"/>
        </w:rPr>
        <w:t xml:space="preserve">eographic </w:t>
      </w:r>
      <w:r w:rsidR="007569CE">
        <w:rPr>
          <w:rFonts w:ascii="Arial" w:hAnsi="Arial" w:cs="Arial"/>
          <w:sz w:val="24"/>
          <w:szCs w:val="24"/>
        </w:rPr>
        <w:t>a</w:t>
      </w:r>
      <w:r w:rsidRPr="00D47D0E">
        <w:rPr>
          <w:rFonts w:ascii="Arial" w:hAnsi="Arial" w:cs="Arial"/>
          <w:sz w:val="24"/>
          <w:szCs w:val="24"/>
        </w:rPr>
        <w:t>ccess Standards and Methodology documents are required distances for the review of network adequacy for ongoing annual network filings. However, while the network-level geographic access standards are useful for network monitoring, the standards are based on high-level groupings of provider types and counties, and do not necessarily reflect access for an individual enrollee in the network.</w:t>
      </w:r>
    </w:p>
    <w:p w14:paraId="034CB660" w14:textId="4A442AC8" w:rsidR="003A091B" w:rsidRPr="00D47D0E" w:rsidRDefault="003A091B" w:rsidP="00D47D0E">
      <w:pPr>
        <w:pStyle w:val="ListParagraph"/>
        <w:spacing w:after="240" w:line="240" w:lineRule="auto"/>
        <w:ind w:left="1080"/>
        <w:contextualSpacing w:val="0"/>
        <w:rPr>
          <w:rFonts w:ascii="Arial" w:hAnsi="Arial" w:cs="Arial"/>
          <w:sz w:val="24"/>
          <w:szCs w:val="24"/>
        </w:rPr>
      </w:pPr>
      <w:r w:rsidRPr="00D47D0E">
        <w:rPr>
          <w:rFonts w:ascii="Arial" w:hAnsi="Arial" w:cs="Arial"/>
          <w:sz w:val="24"/>
          <w:szCs w:val="24"/>
        </w:rPr>
        <w:t xml:space="preserve">While network-level standards are appropriate for assessing overall network adequacy, part of ensuring reasonable access to enrollees includes ensuring enrollees are aware of the distances they must travel to see a </w:t>
      </w:r>
      <w:r w:rsidR="00795711" w:rsidRPr="00D47D0E">
        <w:rPr>
          <w:rFonts w:ascii="Arial" w:hAnsi="Arial" w:cs="Arial"/>
          <w:sz w:val="24"/>
          <w:szCs w:val="24"/>
        </w:rPr>
        <w:t>provider and</w:t>
      </w:r>
      <w:r w:rsidRPr="00D47D0E">
        <w:rPr>
          <w:rFonts w:ascii="Arial" w:hAnsi="Arial" w:cs="Arial"/>
          <w:sz w:val="24"/>
          <w:szCs w:val="24"/>
        </w:rPr>
        <w:t xml:space="preserve"> ensuring that those distances are reasonable based on actual availability at the time the enrollee seeks care. The distance standards </w:t>
      </w:r>
      <w:r w:rsidR="00AE152F">
        <w:rPr>
          <w:rFonts w:ascii="Arial" w:hAnsi="Arial" w:cs="Arial"/>
          <w:sz w:val="24"/>
          <w:szCs w:val="24"/>
        </w:rPr>
        <w:t>for certain provider types</w:t>
      </w:r>
      <w:r w:rsidRPr="00D47D0E">
        <w:rPr>
          <w:rFonts w:ascii="Arial" w:hAnsi="Arial" w:cs="Arial"/>
          <w:sz w:val="24"/>
          <w:szCs w:val="24"/>
        </w:rPr>
        <w:t xml:space="preserve"> can be lengthy (up to 135 miles, without alternative standards) to account for extreme variations in county types, population density, and provider availability throughout the state. The network-level standards also have complexity due to available alternative access methodologies.</w:t>
      </w:r>
      <w:r w:rsidR="00035E6B" w:rsidRPr="00D47D0E">
        <w:rPr>
          <w:rFonts w:ascii="Arial" w:hAnsi="Arial" w:cs="Arial"/>
          <w:sz w:val="24"/>
          <w:szCs w:val="24"/>
        </w:rPr>
        <w:t xml:space="preserve"> </w:t>
      </w:r>
      <w:r w:rsidRPr="00D47D0E">
        <w:rPr>
          <w:rFonts w:ascii="Arial" w:hAnsi="Arial" w:cs="Arial"/>
          <w:sz w:val="24"/>
          <w:szCs w:val="24"/>
        </w:rPr>
        <w:t>Because of this, an individual enrollee would not necessarily be able to determine the distance requirement applicable to a particular network, provider type, and county.</w:t>
      </w:r>
    </w:p>
    <w:p w14:paraId="16528066" w14:textId="427F745D" w:rsidR="00504015" w:rsidRPr="00D47D0E" w:rsidRDefault="003A091B" w:rsidP="00D47D0E">
      <w:pPr>
        <w:pStyle w:val="ListParagraph"/>
        <w:spacing w:after="240" w:line="240" w:lineRule="auto"/>
        <w:ind w:left="1080"/>
        <w:contextualSpacing w:val="0"/>
        <w:rPr>
          <w:rFonts w:ascii="Arial" w:hAnsi="Arial" w:cs="Arial"/>
          <w:sz w:val="24"/>
          <w:szCs w:val="24"/>
        </w:rPr>
      </w:pPr>
      <w:r w:rsidRPr="00D47D0E">
        <w:rPr>
          <w:rFonts w:ascii="Arial" w:hAnsi="Arial" w:cs="Arial"/>
          <w:sz w:val="24"/>
          <w:szCs w:val="24"/>
        </w:rPr>
        <w:t xml:space="preserve">The "enrollee right to access" standard in Rule 1300.67.2(k) specifies requirements a health plan must adhere to when arranging reasonable access for an individual enrollee accessing care within the network. An individual enrollee is entitled to access to a specialty provider within 30 miles when providers of that type are available within distances shorter than those set forth in the </w:t>
      </w:r>
      <w:r w:rsidR="007569CE">
        <w:rPr>
          <w:rFonts w:ascii="Arial" w:hAnsi="Arial" w:cs="Arial"/>
          <w:sz w:val="24"/>
          <w:szCs w:val="24"/>
        </w:rPr>
        <w:t>g</w:t>
      </w:r>
      <w:r w:rsidRPr="00D47D0E">
        <w:rPr>
          <w:rFonts w:ascii="Arial" w:hAnsi="Arial" w:cs="Arial"/>
          <w:sz w:val="24"/>
          <w:szCs w:val="24"/>
        </w:rPr>
        <w:t xml:space="preserve">eographic </w:t>
      </w:r>
      <w:r w:rsidR="007569CE">
        <w:rPr>
          <w:rFonts w:ascii="Arial" w:hAnsi="Arial" w:cs="Arial"/>
          <w:sz w:val="24"/>
          <w:szCs w:val="24"/>
        </w:rPr>
        <w:t>a</w:t>
      </w:r>
      <w:r w:rsidRPr="00D47D0E">
        <w:rPr>
          <w:rFonts w:ascii="Arial" w:hAnsi="Arial" w:cs="Arial"/>
          <w:sz w:val="24"/>
          <w:szCs w:val="24"/>
        </w:rPr>
        <w:t>ccess Standards and Methodology documents.</w:t>
      </w:r>
    </w:p>
    <w:p w14:paraId="2A221274" w14:textId="047972F2" w:rsidR="003A4D6E" w:rsidRPr="00D47D0E" w:rsidRDefault="00504015" w:rsidP="00D47D0E">
      <w:pPr>
        <w:pStyle w:val="ListParagraph"/>
        <w:numPr>
          <w:ilvl w:val="0"/>
          <w:numId w:val="35"/>
        </w:numPr>
        <w:spacing w:after="240" w:line="240" w:lineRule="auto"/>
        <w:contextualSpacing w:val="0"/>
        <w:rPr>
          <w:rFonts w:ascii="Arial" w:hAnsi="Arial" w:cs="Arial"/>
          <w:b/>
          <w:bCs/>
          <w:sz w:val="24"/>
          <w:szCs w:val="24"/>
        </w:rPr>
      </w:pPr>
      <w:r w:rsidRPr="00D47D0E">
        <w:rPr>
          <w:rFonts w:ascii="Arial" w:hAnsi="Arial" w:cs="Arial"/>
          <w:b/>
          <w:bCs/>
          <w:sz w:val="24"/>
          <w:szCs w:val="24"/>
        </w:rPr>
        <w:t>What geographic access standard applies to specialist physician provider types that are not identified in the Geographic Access Standards and Methodology documents?</w:t>
      </w:r>
    </w:p>
    <w:p w14:paraId="19CC58F3" w14:textId="00047D9D" w:rsidR="003A4D6E" w:rsidRPr="00D47D0E" w:rsidRDefault="003A4D6E" w:rsidP="00D47D0E">
      <w:pPr>
        <w:pStyle w:val="ListParagraph"/>
        <w:spacing w:after="240" w:line="240" w:lineRule="auto"/>
        <w:ind w:left="1080"/>
        <w:contextualSpacing w:val="0"/>
        <w:rPr>
          <w:rFonts w:ascii="Arial" w:hAnsi="Arial" w:cs="Arial"/>
          <w:sz w:val="24"/>
          <w:szCs w:val="24"/>
        </w:rPr>
      </w:pPr>
      <w:r w:rsidRPr="00D47D0E">
        <w:rPr>
          <w:rFonts w:ascii="Arial" w:hAnsi="Arial" w:cs="Arial"/>
          <w:sz w:val="24"/>
          <w:szCs w:val="24"/>
        </w:rPr>
        <w:t>The network-level geographic access requirements for specialist physicians are set forth in Rule 1300.67.2(c) and incorporated documents. For specialist types not identified in the Geographic Access Standards and Methodology documents, the location of network providers providing covered services must be within reasonable proximity of the business or personal residences of enrollees, and so located as to not result in unreasonable barriers to accessibility.</w:t>
      </w:r>
    </w:p>
    <w:p w14:paraId="057CAD06" w14:textId="39C7C23D" w:rsidR="004A55EC" w:rsidRPr="00D47D0E" w:rsidRDefault="00392EE8" w:rsidP="00D47D0E">
      <w:pPr>
        <w:pStyle w:val="ListParagraph"/>
        <w:numPr>
          <w:ilvl w:val="0"/>
          <w:numId w:val="35"/>
        </w:numPr>
        <w:spacing w:after="240" w:line="240" w:lineRule="auto"/>
        <w:contextualSpacing w:val="0"/>
        <w:rPr>
          <w:rFonts w:ascii="Arial" w:hAnsi="Arial" w:cs="Arial"/>
          <w:b/>
          <w:bCs/>
          <w:sz w:val="24"/>
          <w:szCs w:val="24"/>
        </w:rPr>
      </w:pPr>
      <w:r w:rsidRPr="00D47D0E">
        <w:rPr>
          <w:rFonts w:ascii="Arial" w:hAnsi="Arial" w:cs="Arial"/>
          <w:b/>
          <w:bCs/>
          <w:sz w:val="24"/>
          <w:szCs w:val="24"/>
        </w:rPr>
        <w:t>Is the standard for measuring geographic access to diagnostic radiology separate from the standard for measuring geographic access to mammography? How does the DMHC account for providers that deliver both sets of services when evaluating for geographic access?</w:t>
      </w:r>
    </w:p>
    <w:p w14:paraId="4889C89D" w14:textId="5804D9E4" w:rsidR="00FE73FB" w:rsidRPr="00D47D0E" w:rsidRDefault="004A55EC" w:rsidP="00D47D0E">
      <w:pPr>
        <w:pStyle w:val="ListParagraph"/>
        <w:spacing w:after="240" w:line="240" w:lineRule="auto"/>
        <w:ind w:left="1080"/>
        <w:contextualSpacing w:val="0"/>
        <w:rPr>
          <w:rFonts w:ascii="Arial" w:hAnsi="Arial" w:cs="Arial"/>
          <w:sz w:val="24"/>
          <w:szCs w:val="24"/>
        </w:rPr>
      </w:pPr>
      <w:r w:rsidRPr="00D47D0E">
        <w:rPr>
          <w:rFonts w:ascii="Arial" w:hAnsi="Arial" w:cs="Arial"/>
          <w:sz w:val="24"/>
          <w:szCs w:val="24"/>
        </w:rPr>
        <w:t xml:space="preserve">Yes, the Geographic Access Standards and Methodology for Specialist, Ancillary, and Facility Providers require health plans to separately measure access to diagnostic radiology providers and access to mammography providers. The Annual Network Submission Instruction Manual includes prescribed terminology for diagnostic radiology ("Imaging/Radiology") and mammography ("Mammography") and health plans are required to use those terms when reporting network providers, or appropriately cross-walk the health plan's own terminology to the </w:t>
      </w:r>
      <w:r w:rsidR="007A6CB0" w:rsidRPr="00D47D0E">
        <w:rPr>
          <w:rFonts w:ascii="Arial" w:hAnsi="Arial" w:cs="Arial"/>
          <w:sz w:val="24"/>
          <w:szCs w:val="24"/>
        </w:rPr>
        <w:t>DMHC’s</w:t>
      </w:r>
      <w:r w:rsidRPr="00D47D0E">
        <w:rPr>
          <w:rFonts w:ascii="Arial" w:hAnsi="Arial" w:cs="Arial"/>
          <w:sz w:val="24"/>
          <w:szCs w:val="24"/>
        </w:rPr>
        <w:t xml:space="preserve"> prescribed terms, so that the </w:t>
      </w:r>
      <w:r w:rsidR="007A6CB0" w:rsidRPr="00D47D0E">
        <w:rPr>
          <w:rFonts w:ascii="Arial" w:hAnsi="Arial" w:cs="Arial"/>
          <w:sz w:val="24"/>
          <w:szCs w:val="24"/>
        </w:rPr>
        <w:t xml:space="preserve">DMHC </w:t>
      </w:r>
      <w:r w:rsidRPr="00D47D0E">
        <w:rPr>
          <w:rFonts w:ascii="Arial" w:hAnsi="Arial" w:cs="Arial"/>
          <w:sz w:val="24"/>
          <w:szCs w:val="24"/>
        </w:rPr>
        <w:t>may measure enrollee access to each of those provider types when it conducts its annual network review. If a diagnostic radiology facility includes mammography amongst the services it delivers, the health plan may report that same facility twice in its annual network report, identifying it once with the provider type "Imaging/Radiology" and once with the provider type "Mammography." This will allow the D</w:t>
      </w:r>
      <w:r w:rsidR="007A6CB0" w:rsidRPr="00D47D0E">
        <w:rPr>
          <w:rFonts w:ascii="Arial" w:hAnsi="Arial" w:cs="Arial"/>
          <w:sz w:val="24"/>
          <w:szCs w:val="24"/>
        </w:rPr>
        <w:t>MHC</w:t>
      </w:r>
      <w:r w:rsidRPr="00D47D0E">
        <w:rPr>
          <w:rFonts w:ascii="Arial" w:hAnsi="Arial" w:cs="Arial"/>
          <w:sz w:val="24"/>
          <w:szCs w:val="24"/>
        </w:rPr>
        <w:t xml:space="preserve"> to include that same provider in both its geographic access measurement for diagnostic radiology and its measurement for mammography.</w:t>
      </w:r>
    </w:p>
    <w:p w14:paraId="43866F46" w14:textId="423C7B54" w:rsidR="00FE73FB" w:rsidRPr="00D47D0E" w:rsidRDefault="00413909" w:rsidP="00D47D0E">
      <w:pPr>
        <w:pStyle w:val="ListParagraph"/>
        <w:numPr>
          <w:ilvl w:val="0"/>
          <w:numId w:val="35"/>
        </w:numPr>
        <w:spacing w:after="240" w:line="240" w:lineRule="auto"/>
        <w:contextualSpacing w:val="0"/>
        <w:rPr>
          <w:rFonts w:ascii="Arial" w:hAnsi="Arial" w:cs="Arial"/>
          <w:sz w:val="24"/>
          <w:szCs w:val="24"/>
        </w:rPr>
      </w:pPr>
      <w:r w:rsidRPr="00D47D0E">
        <w:rPr>
          <w:rFonts w:ascii="Arial" w:hAnsi="Arial" w:cs="Arial"/>
          <w:b/>
          <w:bCs/>
          <w:sz w:val="24"/>
          <w:szCs w:val="24"/>
        </w:rPr>
        <w:t>What is the difference between hospitals and facilities offering emergency room services when determining the applicable geographic access standard?</w:t>
      </w:r>
    </w:p>
    <w:p w14:paraId="0456FEB8" w14:textId="11083065" w:rsidR="00FE73FB" w:rsidRPr="00D47D0E" w:rsidRDefault="00FE73FB" w:rsidP="00D47D0E">
      <w:pPr>
        <w:pStyle w:val="ListParagraph"/>
        <w:spacing w:after="240" w:line="240" w:lineRule="auto"/>
        <w:ind w:left="1080"/>
        <w:contextualSpacing w:val="0"/>
        <w:rPr>
          <w:rFonts w:ascii="Arial" w:hAnsi="Arial" w:cs="Arial"/>
          <w:sz w:val="24"/>
          <w:szCs w:val="24"/>
        </w:rPr>
      </w:pPr>
      <w:r w:rsidRPr="00D47D0E">
        <w:rPr>
          <w:rFonts w:ascii="Arial" w:hAnsi="Arial" w:cs="Arial"/>
          <w:sz w:val="24"/>
          <w:szCs w:val="24"/>
        </w:rPr>
        <w:t>The current hospital geographic access standard is 15 miles or 30 minutes. It is set forth in Rule 1300.51. That standard applies to all general acute care hospitals and is not limited in application to hospitals that maintain an emergency department. In contrast, the distance standard for facilities offering emergency room services, incorporated by reference in Rule 1300.67.2, establishes a separate standard to measure the availability of that specific hospital service. The DMHC established a separate emergency room services distance standard because not all general acute care hospitals include an emergency department. Furthermore, CMS has included a specific geographic standard for hospitals providing 24/7 emergency room services in its requirements for plans offering products on state-facilitated exchanges. The DMHC's emergency room services standard allows plans offering products on the Exchange to simultaneously meet state and federal requirements.</w:t>
      </w:r>
    </w:p>
    <w:p w14:paraId="1F41A194" w14:textId="580F7845" w:rsidR="00A96AF1" w:rsidRPr="00D47D0E" w:rsidRDefault="00421E0A" w:rsidP="00D47D0E">
      <w:pPr>
        <w:pStyle w:val="ListParagraph"/>
        <w:numPr>
          <w:ilvl w:val="0"/>
          <w:numId w:val="35"/>
        </w:numPr>
        <w:spacing w:after="240" w:line="240" w:lineRule="auto"/>
        <w:contextualSpacing w:val="0"/>
        <w:rPr>
          <w:rFonts w:ascii="Arial" w:hAnsi="Arial" w:cs="Arial"/>
          <w:b/>
          <w:bCs/>
          <w:sz w:val="24"/>
          <w:szCs w:val="24"/>
        </w:rPr>
      </w:pPr>
      <w:r w:rsidRPr="00D47D0E">
        <w:rPr>
          <w:rFonts w:ascii="Arial" w:hAnsi="Arial" w:cs="Arial"/>
          <w:b/>
          <w:bCs/>
          <w:sz w:val="24"/>
          <w:szCs w:val="24"/>
        </w:rPr>
        <w:t>Do the new hospital or inpatient facility distance standards apply to the individual physicians who deliver those services within a hospital or other inpatient setting?</w:t>
      </w:r>
    </w:p>
    <w:p w14:paraId="62F52A69" w14:textId="6F38DF05" w:rsidR="00421E0A" w:rsidRPr="00D47D0E" w:rsidRDefault="00421E0A" w:rsidP="00D47D0E">
      <w:pPr>
        <w:spacing w:after="240"/>
        <w:ind w:left="1080"/>
        <w:rPr>
          <w:rFonts w:ascii="Arial" w:hAnsi="Arial" w:cs="Arial"/>
          <w:sz w:val="24"/>
          <w:szCs w:val="24"/>
        </w:rPr>
      </w:pPr>
      <w:r w:rsidRPr="00D47D0E">
        <w:rPr>
          <w:rFonts w:ascii="Arial" w:hAnsi="Arial" w:cs="Arial"/>
          <w:sz w:val="24"/>
          <w:szCs w:val="24"/>
        </w:rPr>
        <w:t>Certain hospital services are included in the Geographic Access Standards and Methodology</w:t>
      </w:r>
      <w:r w:rsidR="004321EC">
        <w:rPr>
          <w:rFonts w:ascii="Arial" w:hAnsi="Arial" w:cs="Arial"/>
          <w:sz w:val="24"/>
          <w:szCs w:val="24"/>
        </w:rPr>
        <w:t xml:space="preserve"> for Specialists, Ancillary, and Facility Providers</w:t>
      </w:r>
      <w:r w:rsidR="00D341AC">
        <w:rPr>
          <w:rFonts w:ascii="Arial" w:hAnsi="Arial" w:cs="Arial"/>
          <w:sz w:val="24"/>
          <w:szCs w:val="24"/>
        </w:rPr>
        <w:t xml:space="preserve"> document</w:t>
      </w:r>
      <w:r w:rsidRPr="00D47D0E">
        <w:rPr>
          <w:rFonts w:ascii="Arial" w:hAnsi="Arial" w:cs="Arial"/>
          <w:sz w:val="24"/>
          <w:szCs w:val="24"/>
        </w:rPr>
        <w:t xml:space="preserve"> for RY 2026. These standards measure access to hospital services</w:t>
      </w:r>
      <w:r w:rsidR="00205842" w:rsidRPr="00D47D0E">
        <w:rPr>
          <w:rFonts w:ascii="Arial" w:hAnsi="Arial" w:cs="Arial"/>
          <w:sz w:val="24"/>
          <w:szCs w:val="24"/>
        </w:rPr>
        <w:t xml:space="preserve"> </w:t>
      </w:r>
      <w:r w:rsidR="002A0237" w:rsidRPr="00D47D0E">
        <w:rPr>
          <w:rFonts w:ascii="Arial" w:hAnsi="Arial" w:cs="Arial"/>
          <w:sz w:val="24"/>
          <w:szCs w:val="24"/>
        </w:rPr>
        <w:t>at the facility level</w:t>
      </w:r>
      <w:r w:rsidRPr="00D47D0E">
        <w:rPr>
          <w:rFonts w:ascii="Arial" w:hAnsi="Arial" w:cs="Arial"/>
          <w:sz w:val="24"/>
          <w:szCs w:val="24"/>
        </w:rPr>
        <w:t>, and not individual specialist providers at the facility.</w:t>
      </w:r>
    </w:p>
    <w:p w14:paraId="06547754" w14:textId="6C61BCD8" w:rsidR="00421E0A" w:rsidRPr="00D47D0E" w:rsidRDefault="00421E0A" w:rsidP="00D47D0E">
      <w:pPr>
        <w:spacing w:after="240"/>
        <w:ind w:left="1080"/>
        <w:rPr>
          <w:rFonts w:ascii="Arial" w:hAnsi="Arial" w:cs="Arial"/>
          <w:sz w:val="24"/>
          <w:szCs w:val="24"/>
        </w:rPr>
      </w:pPr>
      <w:r w:rsidRPr="00D47D0E">
        <w:rPr>
          <w:rFonts w:ascii="Arial" w:hAnsi="Arial" w:cs="Arial"/>
          <w:sz w:val="24"/>
          <w:szCs w:val="24"/>
        </w:rPr>
        <w:t>Although the new standards measure in-network hospital services and not individual physicians who deliver services within the hospital, health plans are required to meet network adequacy requirements with respect to both hospital services and inpatient specialist physicians at in-network hospitals, under Health &amp; Safety Code section 1371.31(a)(5). Rule 1300.67.2(g)(3) reiterates this requirement and indicates that when a hospital or other facility is in-network, individual network providers must also be available to deliver covered services available at the facility.</w:t>
      </w:r>
    </w:p>
    <w:p w14:paraId="57E0633F" w14:textId="0D0FDC54" w:rsidR="00220BF6" w:rsidRPr="00D47D0E" w:rsidRDefault="0054227A" w:rsidP="00D47D0E">
      <w:pPr>
        <w:pStyle w:val="ListParagraph"/>
        <w:numPr>
          <w:ilvl w:val="0"/>
          <w:numId w:val="35"/>
        </w:numPr>
        <w:spacing w:after="240" w:line="240" w:lineRule="auto"/>
        <w:contextualSpacing w:val="0"/>
        <w:rPr>
          <w:rFonts w:ascii="Arial" w:hAnsi="Arial" w:cs="Arial"/>
          <w:b/>
          <w:bCs/>
          <w:sz w:val="24"/>
          <w:szCs w:val="24"/>
        </w:rPr>
      </w:pPr>
      <w:r w:rsidRPr="00D47D0E">
        <w:rPr>
          <w:rFonts w:ascii="Arial" w:hAnsi="Arial" w:cs="Arial"/>
          <w:b/>
          <w:bCs/>
          <w:sz w:val="24"/>
          <w:szCs w:val="24"/>
        </w:rPr>
        <w:t>Why is there a different geographic access standard for pediatric</w:t>
      </w:r>
      <w:r w:rsidR="00004BF7" w:rsidRPr="00D47D0E">
        <w:rPr>
          <w:rFonts w:ascii="Arial" w:hAnsi="Arial" w:cs="Arial"/>
          <w:b/>
          <w:bCs/>
          <w:sz w:val="24"/>
          <w:szCs w:val="24"/>
        </w:rPr>
        <w:t xml:space="preserve"> PCPs </w:t>
      </w:r>
      <w:r w:rsidRPr="00D47D0E">
        <w:rPr>
          <w:rFonts w:ascii="Arial" w:hAnsi="Arial" w:cs="Arial"/>
          <w:b/>
          <w:bCs/>
          <w:sz w:val="24"/>
          <w:szCs w:val="24"/>
        </w:rPr>
        <w:t>than for PCPs?</w:t>
      </w:r>
    </w:p>
    <w:p w14:paraId="758952F3" w14:textId="09B13436" w:rsidR="00220BF6" w:rsidRPr="00D47D0E" w:rsidRDefault="00220BF6" w:rsidP="00D47D0E">
      <w:pPr>
        <w:pStyle w:val="ListParagraph"/>
        <w:spacing w:after="240" w:line="240" w:lineRule="auto"/>
        <w:ind w:left="1080"/>
        <w:contextualSpacing w:val="0"/>
        <w:rPr>
          <w:rFonts w:ascii="Arial" w:hAnsi="Arial" w:cs="Arial"/>
          <w:sz w:val="24"/>
          <w:szCs w:val="24"/>
        </w:rPr>
      </w:pPr>
      <w:r w:rsidRPr="00D47D0E">
        <w:rPr>
          <w:rFonts w:ascii="Arial" w:hAnsi="Arial" w:cs="Arial"/>
          <w:sz w:val="24"/>
          <w:szCs w:val="24"/>
        </w:rPr>
        <w:t>The existing primary care provider geographic access standard of access within 15 miles or 30 minutes is set forth in Rule 1300.51(d), Item H. This standard is still applicable to measuring geographic access to primary care physicians. Primary care physicians are defined in the Act as a group consisting of general practitioners and board-certified internists, family practitioners, OB-GYNs, and pediatricians. The primary care physician standard is met when a plan has any one of those provider types within 15 miles or 30 minutes of an enrollee's residence or workplace.</w:t>
      </w:r>
    </w:p>
    <w:p w14:paraId="2B0E4508" w14:textId="59512657" w:rsidR="00140B39" w:rsidRPr="00D47D0E" w:rsidRDefault="00220BF6" w:rsidP="00D47D0E">
      <w:pPr>
        <w:pStyle w:val="ListParagraph"/>
        <w:spacing w:after="240" w:line="240" w:lineRule="auto"/>
        <w:ind w:left="1080"/>
        <w:contextualSpacing w:val="0"/>
        <w:rPr>
          <w:rFonts w:ascii="Arial" w:hAnsi="Arial" w:cs="Arial"/>
          <w:sz w:val="24"/>
          <w:szCs w:val="24"/>
        </w:rPr>
      </w:pPr>
      <w:r w:rsidRPr="00D47D0E">
        <w:rPr>
          <w:rFonts w:ascii="Arial" w:hAnsi="Arial" w:cs="Arial"/>
          <w:sz w:val="24"/>
          <w:szCs w:val="24"/>
        </w:rPr>
        <w:t>In contrast, the pediatric PCP distance standard may be satisfied only where there is access to a pediatrician or family practitioner who treats patients under the age of 18. This is a smaller group of physicians than the group of physicians considered when measuring compliance with the overall primary care physician standard. In order to ensure children have adequate access to primary care, and to align with federal regulatory requirements in this area, the DMHC has established a standard specific to primary care physicians who treat children that is based on the known supply of providers and the patterns of practice in California's varied counties. Pediatricians are still required to be included in the overall primary care physician geographic access measurement, but a separate measure focusing only on PCPs who treat children allows the DMHC to wield greater scrutiny over the specific access needs of children.</w:t>
      </w:r>
    </w:p>
    <w:p w14:paraId="3DC81594" w14:textId="3AAAAA44" w:rsidR="00140B39" w:rsidRPr="00D47D0E" w:rsidRDefault="00140B39" w:rsidP="00D47D0E">
      <w:pPr>
        <w:pStyle w:val="ListParagraph"/>
        <w:numPr>
          <w:ilvl w:val="0"/>
          <w:numId w:val="35"/>
        </w:numPr>
        <w:spacing w:after="240" w:line="240" w:lineRule="auto"/>
        <w:contextualSpacing w:val="0"/>
        <w:rPr>
          <w:rFonts w:ascii="Arial" w:hAnsi="Arial" w:cs="Arial"/>
          <w:b/>
          <w:bCs/>
          <w:sz w:val="24"/>
          <w:szCs w:val="24"/>
        </w:rPr>
      </w:pPr>
      <w:r w:rsidRPr="00D47D0E">
        <w:rPr>
          <w:rFonts w:ascii="Arial" w:hAnsi="Arial" w:cs="Arial"/>
          <w:b/>
          <w:bCs/>
          <w:sz w:val="24"/>
          <w:szCs w:val="24"/>
        </w:rPr>
        <w:t>Why is the DMHC releasing a distance standard for HIV/AIDS providers, when there is not a distinct taxonomy code for the sub-specialty?</w:t>
      </w:r>
    </w:p>
    <w:p w14:paraId="57DF4489" w14:textId="077634B4" w:rsidR="00051EC2" w:rsidRPr="00D47D0E" w:rsidRDefault="00A550A4" w:rsidP="00D47D0E">
      <w:pPr>
        <w:pStyle w:val="ListParagraph"/>
        <w:spacing w:after="240" w:line="240" w:lineRule="auto"/>
        <w:ind w:left="1080"/>
        <w:contextualSpacing w:val="0"/>
        <w:rPr>
          <w:rFonts w:ascii="Arial" w:hAnsi="Arial" w:cs="Arial"/>
          <w:sz w:val="24"/>
          <w:szCs w:val="24"/>
        </w:rPr>
      </w:pPr>
      <w:r w:rsidRPr="00D47D0E">
        <w:rPr>
          <w:rFonts w:ascii="Arial" w:hAnsi="Arial" w:cs="Arial"/>
          <w:sz w:val="24"/>
          <w:szCs w:val="24"/>
        </w:rPr>
        <w:t>A health plan is required to authorize a standing referral to an HIV/AIDS Specialist when needed to diagnose or treat a condition requiring specialized knowledge of HIV medicine, under Health &amp; Safety Code section 1374.16 and 28 CCR § 1300.74.16. The standing referral must be to an HIV/AIDS specialist, as defined in Rule 1300.74.16(e). Health plans are required to report this provider type as part of the Annual Network Submission and have historically been evaluated annually for whether this required provider type is available in the network. The new geographic access standards add a distance requirement for this provider type, to ensure access throughout the plan's network service area.</w:t>
      </w:r>
    </w:p>
    <w:p w14:paraId="729F1E88" w14:textId="279D8B29" w:rsidR="00051EC2" w:rsidRPr="00D47D0E" w:rsidRDefault="00051EC2" w:rsidP="00D47D0E">
      <w:pPr>
        <w:pStyle w:val="ListParagraph"/>
        <w:numPr>
          <w:ilvl w:val="0"/>
          <w:numId w:val="35"/>
        </w:numPr>
        <w:spacing w:after="240" w:line="240" w:lineRule="auto"/>
        <w:contextualSpacing w:val="0"/>
        <w:rPr>
          <w:rFonts w:ascii="Arial" w:hAnsi="Arial" w:cs="Arial"/>
          <w:b/>
          <w:bCs/>
          <w:sz w:val="24"/>
          <w:szCs w:val="24"/>
        </w:rPr>
      </w:pPr>
      <w:r w:rsidRPr="00D47D0E">
        <w:rPr>
          <w:rFonts w:ascii="Arial" w:hAnsi="Arial" w:cs="Arial"/>
          <w:b/>
          <w:bCs/>
          <w:sz w:val="24"/>
          <w:szCs w:val="24"/>
        </w:rPr>
        <w:t>How does a plan know which particularized hospital services are available at</w:t>
      </w:r>
      <w:r w:rsidR="007C2BCC" w:rsidRPr="00D47D0E">
        <w:rPr>
          <w:rFonts w:ascii="Arial" w:hAnsi="Arial" w:cs="Arial"/>
          <w:b/>
          <w:bCs/>
          <w:sz w:val="24"/>
          <w:szCs w:val="24"/>
        </w:rPr>
        <w:t xml:space="preserve"> an</w:t>
      </w:r>
      <w:r w:rsidRPr="00D47D0E">
        <w:rPr>
          <w:rFonts w:ascii="Arial" w:hAnsi="Arial" w:cs="Arial"/>
          <w:b/>
          <w:bCs/>
          <w:sz w:val="24"/>
          <w:szCs w:val="24"/>
        </w:rPr>
        <w:t xml:space="preserve"> in-network hospital for the purposes of determining compliance with the distance standard for hospital services?</w:t>
      </w:r>
    </w:p>
    <w:p w14:paraId="48C729A6" w14:textId="368DF225" w:rsidR="00B60C23" w:rsidRPr="00D47D0E" w:rsidRDefault="00B60C23" w:rsidP="00D47D0E">
      <w:pPr>
        <w:pStyle w:val="ListParagraph"/>
        <w:spacing w:after="240" w:line="240" w:lineRule="auto"/>
        <w:ind w:left="1080"/>
        <w:contextualSpacing w:val="0"/>
        <w:rPr>
          <w:rFonts w:ascii="Arial" w:hAnsi="Arial" w:cs="Arial"/>
          <w:sz w:val="24"/>
          <w:szCs w:val="24"/>
        </w:rPr>
      </w:pPr>
      <w:r w:rsidRPr="00D47D0E">
        <w:rPr>
          <w:rFonts w:ascii="Arial" w:hAnsi="Arial" w:cs="Arial"/>
          <w:sz w:val="24"/>
          <w:szCs w:val="24"/>
        </w:rPr>
        <w:t>The Department of Health Care Access and Information (HCAI) maintains public information for all licensed hospitals in California, including the services available at those hospitals. The D</w:t>
      </w:r>
      <w:r w:rsidR="007A6CB0" w:rsidRPr="00D47D0E">
        <w:rPr>
          <w:rFonts w:ascii="Arial" w:hAnsi="Arial" w:cs="Arial"/>
          <w:sz w:val="24"/>
          <w:szCs w:val="24"/>
        </w:rPr>
        <w:t>MHC</w:t>
      </w:r>
      <w:r w:rsidRPr="00D47D0E">
        <w:rPr>
          <w:rFonts w:ascii="Arial" w:hAnsi="Arial" w:cs="Arial"/>
          <w:sz w:val="24"/>
          <w:szCs w:val="24"/>
        </w:rPr>
        <w:t xml:space="preserve"> </w:t>
      </w:r>
      <w:r w:rsidR="00A1199F" w:rsidRPr="00D47D0E">
        <w:rPr>
          <w:rFonts w:ascii="Arial" w:hAnsi="Arial" w:cs="Arial"/>
          <w:sz w:val="24"/>
          <w:szCs w:val="24"/>
        </w:rPr>
        <w:t>includes</w:t>
      </w:r>
      <w:r w:rsidRPr="00D47D0E">
        <w:rPr>
          <w:rFonts w:ascii="Arial" w:hAnsi="Arial" w:cs="Arial"/>
          <w:sz w:val="24"/>
          <w:szCs w:val="24"/>
        </w:rPr>
        <w:t xml:space="preserve"> in its annual network reporting instructions a link to HCAI's website through which health plans can identify the services available at each general acute care hospital.</w:t>
      </w:r>
    </w:p>
    <w:p w14:paraId="571553F5" w14:textId="307D92DC" w:rsidR="00B60C23" w:rsidRPr="00D47D0E" w:rsidRDefault="00B60C23" w:rsidP="00D47D0E">
      <w:pPr>
        <w:pStyle w:val="ListParagraph"/>
        <w:spacing w:after="240" w:line="240" w:lineRule="auto"/>
        <w:ind w:left="1080"/>
        <w:contextualSpacing w:val="0"/>
        <w:rPr>
          <w:rFonts w:ascii="Arial" w:hAnsi="Arial" w:cs="Arial"/>
          <w:sz w:val="24"/>
          <w:szCs w:val="24"/>
        </w:rPr>
      </w:pPr>
      <w:r w:rsidRPr="00D47D0E">
        <w:rPr>
          <w:rFonts w:ascii="Arial" w:hAnsi="Arial" w:cs="Arial"/>
          <w:sz w:val="24"/>
          <w:szCs w:val="24"/>
        </w:rPr>
        <w:t>A plan is only required to separately report which particularized services it makes available at a hospital when the plan is not contracted for all services available at the in-network hospital. The Annual Network Submission Instruction Manual provide</w:t>
      </w:r>
      <w:r w:rsidR="00243D30" w:rsidRPr="00D47D0E">
        <w:rPr>
          <w:rFonts w:ascii="Arial" w:hAnsi="Arial" w:cs="Arial"/>
          <w:sz w:val="24"/>
          <w:szCs w:val="24"/>
        </w:rPr>
        <w:t>s</w:t>
      </w:r>
      <w:r w:rsidRPr="00D47D0E">
        <w:rPr>
          <w:rFonts w:ascii="Arial" w:hAnsi="Arial" w:cs="Arial"/>
          <w:sz w:val="24"/>
          <w:szCs w:val="24"/>
        </w:rPr>
        <w:t xml:space="preserve"> standardized terminology for reporting particularized hospital services in the "Available Services" field of the Hospital and Clinic Report Form (Form No. 270), which </w:t>
      </w:r>
      <w:r w:rsidR="00243D30" w:rsidRPr="00D47D0E">
        <w:rPr>
          <w:rFonts w:ascii="Arial" w:hAnsi="Arial" w:cs="Arial"/>
          <w:sz w:val="24"/>
          <w:szCs w:val="24"/>
        </w:rPr>
        <w:t>are</w:t>
      </w:r>
      <w:r w:rsidRPr="00D47D0E">
        <w:rPr>
          <w:rFonts w:ascii="Arial" w:hAnsi="Arial" w:cs="Arial"/>
          <w:sz w:val="24"/>
          <w:szCs w:val="24"/>
        </w:rPr>
        <w:t xml:space="preserve"> consistent with the terms listed in the definition of "particularized hospital services." The associated terminology table in the Instruction Manual include</w:t>
      </w:r>
      <w:r w:rsidR="00243D30" w:rsidRPr="00D47D0E">
        <w:rPr>
          <w:rFonts w:ascii="Arial" w:hAnsi="Arial" w:cs="Arial"/>
          <w:sz w:val="24"/>
          <w:szCs w:val="24"/>
        </w:rPr>
        <w:t>s</w:t>
      </w:r>
      <w:r w:rsidRPr="00D47D0E">
        <w:rPr>
          <w:rFonts w:ascii="Arial" w:hAnsi="Arial" w:cs="Arial"/>
          <w:sz w:val="24"/>
          <w:szCs w:val="24"/>
        </w:rPr>
        <w:t xml:space="preserve"> references to the applicable HCAI terminology to assist health plans in reporting.</w:t>
      </w:r>
    </w:p>
    <w:p w14:paraId="03E2CE8B" w14:textId="464C8A27" w:rsidR="001728DD" w:rsidRPr="00D47D0E" w:rsidRDefault="00B60C23" w:rsidP="00D47D0E">
      <w:pPr>
        <w:pStyle w:val="ListParagraph"/>
        <w:spacing w:after="240" w:line="240" w:lineRule="auto"/>
        <w:ind w:left="1080"/>
        <w:contextualSpacing w:val="0"/>
        <w:rPr>
          <w:rFonts w:ascii="Arial" w:hAnsi="Arial" w:cs="Arial"/>
          <w:sz w:val="24"/>
          <w:szCs w:val="24"/>
        </w:rPr>
      </w:pPr>
      <w:r w:rsidRPr="00D47D0E">
        <w:rPr>
          <w:rFonts w:ascii="Arial" w:hAnsi="Arial" w:cs="Arial"/>
          <w:sz w:val="24"/>
          <w:szCs w:val="24"/>
        </w:rPr>
        <w:t>For further information concerning annual network reporting instructions and recent amendments to 28 CCR § 1300.67.2.2 and incorporated Annual Network Report Forms, including responses to frequently asked questions, please refer to All Plan Letter (APL) 25-013, released on September 4, 2025.</w:t>
      </w:r>
    </w:p>
    <w:p w14:paraId="49D8D81D" w14:textId="13F45280" w:rsidR="00AA5431" w:rsidRPr="00D47D0E" w:rsidRDefault="001728DD" w:rsidP="00D47D0E">
      <w:pPr>
        <w:pStyle w:val="ListParagraph"/>
        <w:numPr>
          <w:ilvl w:val="0"/>
          <w:numId w:val="35"/>
        </w:numPr>
        <w:spacing w:after="240" w:line="240" w:lineRule="auto"/>
        <w:contextualSpacing w:val="0"/>
        <w:rPr>
          <w:rFonts w:ascii="Arial" w:hAnsi="Arial" w:cs="Arial"/>
          <w:b/>
          <w:bCs/>
          <w:sz w:val="24"/>
          <w:szCs w:val="24"/>
        </w:rPr>
      </w:pPr>
      <w:r w:rsidRPr="00D47D0E">
        <w:rPr>
          <w:rFonts w:ascii="Arial" w:hAnsi="Arial" w:cs="Arial"/>
          <w:b/>
          <w:bCs/>
          <w:sz w:val="24"/>
          <w:szCs w:val="24"/>
        </w:rPr>
        <w:t>The DMHC amended the distance standard for mental health facilities in Metro Counties from</w:t>
      </w:r>
      <w:r w:rsidR="00AA5431" w:rsidRPr="00D47D0E">
        <w:rPr>
          <w:rFonts w:ascii="Arial" w:hAnsi="Arial" w:cs="Arial"/>
          <w:b/>
          <w:bCs/>
          <w:sz w:val="24"/>
          <w:szCs w:val="24"/>
        </w:rPr>
        <w:t xml:space="preserve"> </w:t>
      </w:r>
      <w:r w:rsidRPr="00D47D0E">
        <w:rPr>
          <w:rFonts w:ascii="Arial" w:hAnsi="Arial" w:cs="Arial"/>
          <w:b/>
          <w:bCs/>
          <w:sz w:val="24"/>
          <w:szCs w:val="24"/>
        </w:rPr>
        <w:t>45 miles to 35 miles. The DMHC further amended the low-density alternative standard in Metro Counties for mental health facilities, from 75 miles to 55 miles. Why did the DMHC make this change?</w:t>
      </w:r>
    </w:p>
    <w:p w14:paraId="0979BB2C" w14:textId="2DDE9B41" w:rsidR="00010879" w:rsidRPr="00D47D0E" w:rsidRDefault="00AA5431" w:rsidP="00D47D0E">
      <w:pPr>
        <w:pStyle w:val="ListParagraph"/>
        <w:spacing w:after="240" w:line="240" w:lineRule="auto"/>
        <w:ind w:left="1080"/>
        <w:contextualSpacing w:val="0"/>
        <w:rPr>
          <w:rFonts w:ascii="Arial" w:hAnsi="Arial" w:cs="Arial"/>
          <w:sz w:val="24"/>
          <w:szCs w:val="24"/>
        </w:rPr>
      </w:pPr>
      <w:r w:rsidRPr="00D47D0E">
        <w:rPr>
          <w:rFonts w:ascii="Arial" w:hAnsi="Arial" w:cs="Arial"/>
          <w:sz w:val="24"/>
          <w:szCs w:val="24"/>
        </w:rPr>
        <w:t xml:space="preserve">Further evaluation of the geographic access standards and methodology for mental health facilities using recent data indicates greater availability of mental health facilities within this county type. The vast majority of health plan networks appear able to meet a 35-mile </w:t>
      </w:r>
      <w:r w:rsidR="002A4BB4" w:rsidRPr="00D47D0E">
        <w:rPr>
          <w:rFonts w:ascii="Arial" w:hAnsi="Arial" w:cs="Arial"/>
          <w:sz w:val="24"/>
          <w:szCs w:val="24"/>
        </w:rPr>
        <w:t xml:space="preserve">driving </w:t>
      </w:r>
      <w:r w:rsidRPr="00D47D0E">
        <w:rPr>
          <w:rFonts w:ascii="Arial" w:hAnsi="Arial" w:cs="Arial"/>
          <w:sz w:val="24"/>
          <w:szCs w:val="24"/>
        </w:rPr>
        <w:t xml:space="preserve">distance standard for mental health facilities in Metro Counties, or a 55-mile </w:t>
      </w:r>
      <w:r w:rsidR="002A4BB4" w:rsidRPr="00D47D0E">
        <w:rPr>
          <w:rFonts w:ascii="Arial" w:hAnsi="Arial" w:cs="Arial"/>
          <w:sz w:val="24"/>
          <w:szCs w:val="24"/>
        </w:rPr>
        <w:t xml:space="preserve">driving distance </w:t>
      </w:r>
      <w:r w:rsidRPr="00D47D0E">
        <w:rPr>
          <w:rFonts w:ascii="Arial" w:hAnsi="Arial" w:cs="Arial"/>
          <w:sz w:val="24"/>
          <w:szCs w:val="24"/>
        </w:rPr>
        <w:t xml:space="preserve">standard when the low-density alternative standard applies. The small number of networks that are not able to meet this standard in Metro </w:t>
      </w:r>
      <w:r w:rsidR="005C7B95">
        <w:rPr>
          <w:rFonts w:ascii="Arial" w:hAnsi="Arial" w:cs="Arial"/>
          <w:sz w:val="24"/>
          <w:szCs w:val="24"/>
        </w:rPr>
        <w:t>C</w:t>
      </w:r>
      <w:r w:rsidRPr="00D47D0E">
        <w:rPr>
          <w:rFonts w:ascii="Arial" w:hAnsi="Arial" w:cs="Arial"/>
          <w:sz w:val="24"/>
          <w:szCs w:val="24"/>
        </w:rPr>
        <w:t>ounties appear to be outliers</w:t>
      </w:r>
      <w:r w:rsidR="00BD25A4" w:rsidRPr="00D47D0E">
        <w:rPr>
          <w:rFonts w:ascii="Arial" w:hAnsi="Arial" w:cs="Arial"/>
          <w:sz w:val="24"/>
          <w:szCs w:val="24"/>
        </w:rPr>
        <w:t>,</w:t>
      </w:r>
      <w:r w:rsidRPr="00D47D0E">
        <w:rPr>
          <w:rFonts w:ascii="Arial" w:hAnsi="Arial" w:cs="Arial"/>
          <w:sz w:val="24"/>
          <w:szCs w:val="24"/>
        </w:rPr>
        <w:t xml:space="preserve"> and may not be contracting with the available mental health facilities within the counties in which they are operating.</w:t>
      </w:r>
    </w:p>
    <w:p w14:paraId="25161953" w14:textId="3470C471" w:rsidR="00010879" w:rsidRPr="00D47D0E" w:rsidRDefault="00010879" w:rsidP="00D47D0E">
      <w:pPr>
        <w:pStyle w:val="ListParagraph"/>
        <w:numPr>
          <w:ilvl w:val="0"/>
          <w:numId w:val="35"/>
        </w:numPr>
        <w:spacing w:after="240" w:line="240" w:lineRule="auto"/>
        <w:contextualSpacing w:val="0"/>
        <w:rPr>
          <w:rFonts w:ascii="Arial" w:hAnsi="Arial" w:cs="Arial"/>
          <w:b/>
          <w:bCs/>
          <w:sz w:val="24"/>
          <w:szCs w:val="24"/>
        </w:rPr>
      </w:pPr>
      <w:r w:rsidRPr="00D47D0E">
        <w:rPr>
          <w:rFonts w:ascii="Arial" w:hAnsi="Arial" w:cs="Arial"/>
          <w:b/>
          <w:bCs/>
          <w:sz w:val="24"/>
          <w:szCs w:val="24"/>
        </w:rPr>
        <w:t xml:space="preserve">The Geographic Access Standards and Methodology for Specialist, Ancillary, and Facility Providers includes </w:t>
      </w:r>
      <w:r w:rsidR="00657024" w:rsidRPr="00D47D0E">
        <w:rPr>
          <w:rFonts w:ascii="Arial" w:hAnsi="Arial" w:cs="Arial"/>
          <w:b/>
          <w:bCs/>
          <w:sz w:val="24"/>
          <w:szCs w:val="24"/>
        </w:rPr>
        <w:t>distance</w:t>
      </w:r>
      <w:r w:rsidRPr="00D47D0E">
        <w:rPr>
          <w:rFonts w:ascii="Arial" w:hAnsi="Arial" w:cs="Arial"/>
          <w:b/>
          <w:bCs/>
          <w:sz w:val="24"/>
          <w:szCs w:val="24"/>
        </w:rPr>
        <w:t xml:space="preserve"> standards for some facility-based services that are typically made available in a hospital setting, such as emergency room services, intensive care services, cardiac catheterization services, and cardiac surgery services. How does the DMHC determine the location of these provider types if they are typically administered in a hospital setting?</w:t>
      </w:r>
    </w:p>
    <w:p w14:paraId="16691115" w14:textId="3D1FE5B0" w:rsidR="00C34A84" w:rsidRPr="00D47D0E" w:rsidRDefault="00354B86" w:rsidP="00D47D0E">
      <w:pPr>
        <w:spacing w:after="240"/>
        <w:ind w:left="1080"/>
        <w:rPr>
          <w:rFonts w:ascii="Arial" w:hAnsi="Arial" w:cs="Arial"/>
          <w:sz w:val="24"/>
          <w:szCs w:val="24"/>
        </w:rPr>
      </w:pPr>
      <w:r w:rsidRPr="00D47D0E">
        <w:rPr>
          <w:rFonts w:ascii="Arial" w:hAnsi="Arial" w:cs="Arial"/>
          <w:sz w:val="24"/>
          <w:szCs w:val="24"/>
        </w:rPr>
        <w:t>To identify whether the health plan has hospital-based services, such as emergency room services, intensive care services, cardiac catheterization services, and cardiac surgery services, in its network, the DMHC uses the data reported for each in-network hospital by the Department of Health Care Access and In</w:t>
      </w:r>
      <w:r w:rsidR="0004024F">
        <w:rPr>
          <w:rFonts w:ascii="Arial" w:hAnsi="Arial" w:cs="Arial"/>
          <w:sz w:val="24"/>
          <w:szCs w:val="24"/>
        </w:rPr>
        <w:t>formation</w:t>
      </w:r>
      <w:r w:rsidRPr="00D47D0E">
        <w:rPr>
          <w:rFonts w:ascii="Arial" w:hAnsi="Arial" w:cs="Arial"/>
          <w:sz w:val="24"/>
          <w:szCs w:val="24"/>
        </w:rPr>
        <w:t xml:space="preserve"> (HCAI) to attribute the reported hospital-based services to the hospital. The DMHC then applies the geographic location of the hospital in which those services are located to each service type when measuring geographic access to that hospital-based service. </w:t>
      </w:r>
      <w:r w:rsidR="003D6088" w:rsidRPr="00D47D0E">
        <w:rPr>
          <w:rFonts w:ascii="Arial" w:hAnsi="Arial" w:cs="Arial"/>
          <w:sz w:val="24"/>
          <w:szCs w:val="24"/>
        </w:rPr>
        <w:t>When reporting hospital data to the DMHC</w:t>
      </w:r>
      <w:r w:rsidR="00006933" w:rsidRPr="00D47D0E">
        <w:rPr>
          <w:rFonts w:ascii="Arial" w:hAnsi="Arial" w:cs="Arial"/>
          <w:sz w:val="24"/>
          <w:szCs w:val="24"/>
        </w:rPr>
        <w:t xml:space="preserve"> in the Hospital and Clinic Report Form</w:t>
      </w:r>
      <w:r w:rsidR="003D6088" w:rsidRPr="00D47D0E">
        <w:rPr>
          <w:rFonts w:ascii="Arial" w:hAnsi="Arial" w:cs="Arial"/>
          <w:sz w:val="24"/>
          <w:szCs w:val="24"/>
        </w:rPr>
        <w:t>, h</w:t>
      </w:r>
      <w:r w:rsidRPr="00D47D0E">
        <w:rPr>
          <w:rFonts w:ascii="Arial" w:hAnsi="Arial" w:cs="Arial"/>
          <w:sz w:val="24"/>
          <w:szCs w:val="24"/>
        </w:rPr>
        <w:t xml:space="preserve">ealth plans </w:t>
      </w:r>
      <w:r w:rsidR="00006933" w:rsidRPr="00D47D0E">
        <w:rPr>
          <w:rFonts w:ascii="Arial" w:hAnsi="Arial" w:cs="Arial"/>
          <w:sz w:val="24"/>
          <w:szCs w:val="24"/>
        </w:rPr>
        <w:t xml:space="preserve">must </w:t>
      </w:r>
      <w:r w:rsidRPr="00D47D0E">
        <w:rPr>
          <w:rFonts w:ascii="Arial" w:hAnsi="Arial" w:cs="Arial"/>
          <w:sz w:val="24"/>
          <w:szCs w:val="24"/>
        </w:rPr>
        <w:t xml:space="preserve">indicate if </w:t>
      </w:r>
      <w:r w:rsidR="007516F0" w:rsidRPr="00D47D0E">
        <w:rPr>
          <w:rFonts w:ascii="Arial" w:hAnsi="Arial" w:cs="Arial"/>
          <w:sz w:val="24"/>
          <w:szCs w:val="24"/>
        </w:rPr>
        <w:t xml:space="preserve">their </w:t>
      </w:r>
      <w:r w:rsidRPr="00D47D0E">
        <w:rPr>
          <w:rFonts w:ascii="Arial" w:hAnsi="Arial" w:cs="Arial"/>
          <w:sz w:val="24"/>
          <w:szCs w:val="24"/>
        </w:rPr>
        <w:t xml:space="preserve">contract with the hospital does not include all services reported to be available at the hospital by HCAI. If the health plan indicates a service has been excluded from its contract with the hospital, the DMHC will not </w:t>
      </w:r>
      <w:r w:rsidR="00E96AAB" w:rsidRPr="00D47D0E">
        <w:rPr>
          <w:rFonts w:ascii="Arial" w:hAnsi="Arial" w:cs="Arial"/>
          <w:sz w:val="24"/>
          <w:szCs w:val="24"/>
        </w:rPr>
        <w:t xml:space="preserve">include the service </w:t>
      </w:r>
      <w:r w:rsidRPr="00D47D0E">
        <w:rPr>
          <w:rFonts w:ascii="Arial" w:hAnsi="Arial" w:cs="Arial"/>
          <w:sz w:val="24"/>
          <w:szCs w:val="24"/>
        </w:rPr>
        <w:t>at the reported hospital when conducting its geographic access evaluation.</w:t>
      </w:r>
    </w:p>
    <w:p w14:paraId="3508B646" w14:textId="668471D2" w:rsidR="00F239AA" w:rsidRPr="00D47D0E" w:rsidRDefault="00F239AA" w:rsidP="00D47D0E">
      <w:pPr>
        <w:pStyle w:val="ListParagraph"/>
        <w:numPr>
          <w:ilvl w:val="0"/>
          <w:numId w:val="35"/>
        </w:numPr>
        <w:spacing w:after="240" w:line="240" w:lineRule="auto"/>
        <w:contextualSpacing w:val="0"/>
        <w:rPr>
          <w:rFonts w:ascii="Arial" w:hAnsi="Arial" w:cs="Arial"/>
          <w:b/>
          <w:bCs/>
          <w:sz w:val="24"/>
          <w:szCs w:val="24"/>
        </w:rPr>
      </w:pPr>
      <w:r w:rsidRPr="00D47D0E">
        <w:rPr>
          <w:rFonts w:ascii="Arial" w:hAnsi="Arial" w:cs="Arial"/>
          <w:b/>
          <w:bCs/>
          <w:sz w:val="24"/>
          <w:szCs w:val="24"/>
        </w:rPr>
        <w:t>How should plans who operate networks subject to federal regulatory requirements evaluate network adequacy compliance when network standards issued by the Centers for Medicare and Medicaid Services (CMS) differ from the DMHC?</w:t>
      </w:r>
    </w:p>
    <w:p w14:paraId="7C75ECA2" w14:textId="0AAB503D" w:rsidR="00B137A1" w:rsidRPr="00D47D0E" w:rsidRDefault="00F239AA" w:rsidP="00D47D0E">
      <w:pPr>
        <w:pStyle w:val="ListParagraph"/>
        <w:spacing w:after="240" w:line="240" w:lineRule="auto"/>
        <w:ind w:left="1080"/>
        <w:contextualSpacing w:val="0"/>
        <w:rPr>
          <w:rFonts w:ascii="Arial" w:hAnsi="Arial" w:cs="Arial"/>
          <w:sz w:val="24"/>
          <w:szCs w:val="24"/>
        </w:rPr>
      </w:pPr>
      <w:r w:rsidRPr="00D47D0E">
        <w:rPr>
          <w:rFonts w:ascii="Arial" w:hAnsi="Arial" w:cs="Arial"/>
          <w:sz w:val="24"/>
          <w:szCs w:val="24"/>
        </w:rPr>
        <w:t>Health plan</w:t>
      </w:r>
      <w:r w:rsidR="00EF495B" w:rsidRPr="00D47D0E">
        <w:rPr>
          <w:rFonts w:ascii="Arial" w:hAnsi="Arial" w:cs="Arial"/>
          <w:sz w:val="24"/>
          <w:szCs w:val="24"/>
        </w:rPr>
        <w:t xml:space="preserve"> networks </w:t>
      </w:r>
      <w:r w:rsidRPr="00D47D0E">
        <w:rPr>
          <w:rFonts w:ascii="Arial" w:hAnsi="Arial" w:cs="Arial"/>
          <w:sz w:val="24"/>
          <w:szCs w:val="24"/>
        </w:rPr>
        <w:t>that are sold in California and are subject to state regulation must meet the requirements of the Knox-Keene Act. For the purposes of compliance with the Knox-Keene Act, health plans demonstrate network adequacy by meeting the standards set forth in the relevant portions of the Health &amp; Safety Code and Title 28 of the California Code of Regulations. Most provisions relevant to network adequacy are located in Health &amp; Safety Code Sections 1367, 1367.03, 1367.035, and 1375.9 and in sections 1300.51, 1300.67.2, and 1300.67.2.2 of title 28 of the California Code of Regulations.</w:t>
      </w:r>
    </w:p>
    <w:p w14:paraId="433E05EE" w14:textId="569DECB1" w:rsidR="00F239AA" w:rsidRPr="00D47D0E" w:rsidRDefault="00F239AA" w:rsidP="00D47D0E">
      <w:pPr>
        <w:pStyle w:val="ListParagraph"/>
        <w:spacing w:after="240" w:line="240" w:lineRule="auto"/>
        <w:ind w:left="1080"/>
        <w:contextualSpacing w:val="0"/>
        <w:rPr>
          <w:rFonts w:ascii="Arial" w:hAnsi="Arial" w:cs="Arial"/>
          <w:sz w:val="24"/>
          <w:szCs w:val="24"/>
        </w:rPr>
      </w:pPr>
      <w:r w:rsidRPr="00D47D0E">
        <w:rPr>
          <w:rFonts w:ascii="Arial" w:hAnsi="Arial" w:cs="Arial"/>
          <w:sz w:val="24"/>
          <w:szCs w:val="24"/>
        </w:rPr>
        <w:t xml:space="preserve">Where the network adequacy standards set forth by CMS vary from the Knox-Keene Act, health plans must comply with the Knox-Keene Act for the </w:t>
      </w:r>
      <w:r w:rsidR="009C60CA" w:rsidRPr="00D47D0E">
        <w:rPr>
          <w:rFonts w:ascii="Arial" w:hAnsi="Arial" w:cs="Arial"/>
          <w:sz w:val="24"/>
          <w:szCs w:val="24"/>
        </w:rPr>
        <w:t>purpose</w:t>
      </w:r>
      <w:r w:rsidRPr="00D47D0E">
        <w:rPr>
          <w:rFonts w:ascii="Arial" w:hAnsi="Arial" w:cs="Arial"/>
          <w:sz w:val="24"/>
          <w:szCs w:val="24"/>
        </w:rPr>
        <w:t xml:space="preserve"> of meeting the requirements for California licensure. Where the distance standard established by CMS is more stringent than the standard established in the Knox-Keene Act, the health plan will necessarily meet the Knox-Keene requirement when it meets the CMS distance standard, so long as the plan is measuring distance in accordance with the applicable Knox-Keene measurement methodology. In general, when alternative methodologies and the established Geographic Access Measurement Methodology are taken into consideration, the distance standards established in the Knox-Keene Act are similar to those issued by CMS. Where standards vary, they typically only vary by 5 to 15 miles.</w:t>
      </w:r>
    </w:p>
    <w:p w14:paraId="0C38AE94" w14:textId="128F636C" w:rsidR="00725984" w:rsidRPr="00D47D0E" w:rsidRDefault="003433C3" w:rsidP="00D47D0E">
      <w:pPr>
        <w:pStyle w:val="AccessibleHeader"/>
        <w:spacing w:before="0" w:line="240" w:lineRule="auto"/>
      </w:pPr>
      <w:r w:rsidRPr="00D47D0E">
        <w:t>Required Network Provider Types:</w:t>
      </w:r>
    </w:p>
    <w:p w14:paraId="153D4222" w14:textId="58C99A08" w:rsidR="00E46C50" w:rsidRPr="00D47D0E" w:rsidRDefault="00601CB4" w:rsidP="00D47D0E">
      <w:pPr>
        <w:pStyle w:val="ListParagraph"/>
        <w:numPr>
          <w:ilvl w:val="0"/>
          <w:numId w:val="37"/>
        </w:numPr>
        <w:spacing w:after="240" w:line="240" w:lineRule="auto"/>
        <w:contextualSpacing w:val="0"/>
        <w:rPr>
          <w:rFonts w:ascii="Arial" w:hAnsi="Arial" w:cs="Arial"/>
          <w:sz w:val="24"/>
          <w:szCs w:val="24"/>
        </w:rPr>
      </w:pPr>
      <w:r w:rsidRPr="00D47D0E">
        <w:rPr>
          <w:rFonts w:ascii="Arial" w:hAnsi="Arial" w:cs="Arial"/>
          <w:b/>
          <w:bCs/>
          <w:sz w:val="24"/>
          <w:szCs w:val="24"/>
        </w:rPr>
        <w:t>Why does DMHC require the Plan to ensure the Sleep Disorder Center providers available in the network include Registered Polysomnographic Technologists?</w:t>
      </w:r>
    </w:p>
    <w:p w14:paraId="248A810A" w14:textId="530DAC43" w:rsidR="00601CB4" w:rsidRPr="00D47D0E" w:rsidRDefault="00E46C50" w:rsidP="00D47D0E">
      <w:pPr>
        <w:pStyle w:val="ListParagraph"/>
        <w:spacing w:after="240" w:line="240" w:lineRule="auto"/>
        <w:ind w:left="1080"/>
        <w:contextualSpacing w:val="0"/>
        <w:rPr>
          <w:rFonts w:ascii="Arial" w:hAnsi="Arial" w:cs="Arial"/>
          <w:sz w:val="24"/>
          <w:szCs w:val="24"/>
        </w:rPr>
      </w:pPr>
      <w:r w:rsidRPr="00D47D0E">
        <w:rPr>
          <w:rFonts w:ascii="Arial" w:hAnsi="Arial" w:cs="Arial"/>
          <w:sz w:val="24"/>
          <w:szCs w:val="24"/>
        </w:rPr>
        <w:t xml:space="preserve">The DMHC has included this requirement to ensure that the plan includes within its network Sleep Disorder Centers that offer the appropriate personnel to deliver the required services, even if the Sleep Disorder Center is not accredited by the American Academy of Sleep Medicine. Pursuant to the American Academy of Sleep Medicine, Sleep Disorder Centers must include a Registered Polysomnographic Technologist to meet accreditation standards. Furthermore, pursuant to Rule 1300.74.72.01(a)(17), polysomnography is a required benefit for health plans </w:t>
      </w:r>
      <w:r w:rsidR="00126576" w:rsidRPr="00D47D0E">
        <w:rPr>
          <w:rFonts w:ascii="Arial" w:hAnsi="Arial" w:cs="Arial"/>
          <w:sz w:val="24"/>
          <w:szCs w:val="24"/>
        </w:rPr>
        <w:t xml:space="preserve">that cover the </w:t>
      </w:r>
      <w:r w:rsidRPr="00D47D0E">
        <w:rPr>
          <w:rFonts w:ascii="Arial" w:hAnsi="Arial" w:cs="Arial"/>
          <w:sz w:val="24"/>
          <w:szCs w:val="24"/>
        </w:rPr>
        <w:t>preventi</w:t>
      </w:r>
      <w:r w:rsidR="00126576" w:rsidRPr="00D47D0E">
        <w:rPr>
          <w:rFonts w:ascii="Arial" w:hAnsi="Arial" w:cs="Arial"/>
          <w:sz w:val="24"/>
          <w:szCs w:val="24"/>
        </w:rPr>
        <w:t>on</w:t>
      </w:r>
      <w:r w:rsidRPr="00D47D0E">
        <w:rPr>
          <w:rFonts w:ascii="Arial" w:hAnsi="Arial" w:cs="Arial"/>
          <w:sz w:val="24"/>
          <w:szCs w:val="24"/>
        </w:rPr>
        <w:t>, diagnosi</w:t>
      </w:r>
      <w:r w:rsidR="00AC0316" w:rsidRPr="00D47D0E">
        <w:rPr>
          <w:rFonts w:ascii="Arial" w:hAnsi="Arial" w:cs="Arial"/>
          <w:sz w:val="24"/>
          <w:szCs w:val="24"/>
        </w:rPr>
        <w:t>s</w:t>
      </w:r>
      <w:r w:rsidRPr="00D47D0E">
        <w:rPr>
          <w:rFonts w:ascii="Arial" w:hAnsi="Arial" w:cs="Arial"/>
          <w:sz w:val="24"/>
          <w:szCs w:val="24"/>
        </w:rPr>
        <w:t>, and treat</w:t>
      </w:r>
      <w:r w:rsidR="00AC0316" w:rsidRPr="00D47D0E">
        <w:rPr>
          <w:rFonts w:ascii="Arial" w:hAnsi="Arial" w:cs="Arial"/>
          <w:sz w:val="24"/>
          <w:szCs w:val="24"/>
        </w:rPr>
        <w:t>ment of</w:t>
      </w:r>
      <w:r w:rsidRPr="00D47D0E">
        <w:rPr>
          <w:rFonts w:ascii="Arial" w:hAnsi="Arial" w:cs="Arial"/>
          <w:sz w:val="24"/>
          <w:szCs w:val="24"/>
        </w:rPr>
        <w:t xml:space="preserve"> mental health conditions and substance use disorders. The inclusion of Registered Polysomnographic Technologists in the network requirements for Sleep Disorder Centers allows the DMHC to confirm the plan has a network to support this required mental health benefit.</w:t>
      </w:r>
    </w:p>
    <w:p w14:paraId="22EB372E" w14:textId="6A8DCFA9" w:rsidR="00F6198B" w:rsidRPr="00D47D0E" w:rsidRDefault="00236419" w:rsidP="00D47D0E">
      <w:pPr>
        <w:pStyle w:val="ListParagraph"/>
        <w:numPr>
          <w:ilvl w:val="0"/>
          <w:numId w:val="37"/>
        </w:numPr>
        <w:spacing w:after="240" w:line="240" w:lineRule="auto"/>
        <w:contextualSpacing w:val="0"/>
        <w:rPr>
          <w:rFonts w:ascii="Arial" w:hAnsi="Arial" w:cs="Arial"/>
          <w:b/>
          <w:bCs/>
          <w:sz w:val="24"/>
          <w:szCs w:val="24"/>
        </w:rPr>
      </w:pPr>
      <w:r w:rsidRPr="00D47D0E">
        <w:rPr>
          <w:rFonts w:ascii="Arial" w:hAnsi="Arial" w:cs="Arial"/>
          <w:b/>
          <w:bCs/>
          <w:sz w:val="24"/>
          <w:szCs w:val="24"/>
        </w:rPr>
        <w:t>Why has the DMHC added hospital services to the Required Network Providers list for network adequacy review?</w:t>
      </w:r>
    </w:p>
    <w:p w14:paraId="15E8D0A8" w14:textId="5427FBA4" w:rsidR="00F6198B" w:rsidRPr="00D47D0E" w:rsidRDefault="00F6198B" w:rsidP="00D47D0E">
      <w:pPr>
        <w:pStyle w:val="ListParagraph"/>
        <w:spacing w:after="240" w:line="240" w:lineRule="auto"/>
        <w:ind w:left="1080"/>
        <w:contextualSpacing w:val="0"/>
        <w:rPr>
          <w:rFonts w:ascii="Arial" w:hAnsi="Arial" w:cs="Arial"/>
          <w:sz w:val="24"/>
          <w:szCs w:val="24"/>
        </w:rPr>
      </w:pPr>
      <w:r w:rsidRPr="00D47D0E">
        <w:rPr>
          <w:rFonts w:ascii="Arial" w:hAnsi="Arial" w:cs="Arial"/>
          <w:sz w:val="24"/>
          <w:szCs w:val="24"/>
        </w:rPr>
        <w:t>As part of network adequacy reviews for licensure and ongoing network filings, the DMHC measures health plan networks for the presence of a full-range of network providers who offer covered services, including physicians, specialist providers, mental health providers, facilities, and ancillary services, to ensure compliance with network adequacy standards in the Knox-Keene Act and supporting regulations. A non-exhaustive list of "Required Network Provider Types" is incorporated by reference in Rule 1300.67.2 (filed April 4, 2025).</w:t>
      </w:r>
    </w:p>
    <w:p w14:paraId="01A57125" w14:textId="521303B6" w:rsidR="00D34BFE" w:rsidRPr="00D47D0E" w:rsidRDefault="00F6198B" w:rsidP="00D47D0E">
      <w:pPr>
        <w:pStyle w:val="ListParagraph"/>
        <w:spacing w:after="240" w:line="240" w:lineRule="auto"/>
        <w:ind w:left="1080"/>
        <w:contextualSpacing w:val="0"/>
        <w:rPr>
          <w:rFonts w:ascii="Arial" w:hAnsi="Arial" w:cs="Arial"/>
          <w:sz w:val="24"/>
          <w:szCs w:val="24"/>
        </w:rPr>
      </w:pPr>
      <w:r w:rsidRPr="00D47D0E">
        <w:rPr>
          <w:rFonts w:ascii="Arial" w:hAnsi="Arial" w:cs="Arial"/>
          <w:sz w:val="24"/>
          <w:szCs w:val="24"/>
        </w:rPr>
        <w:t>DMHC recently amended the Required Network Provider Types document to include several particularized hospital services. "Particularized Hospital Services" are set forth in the Annual Network Submission Instruction Manual, incorporated in Rule 1300.67.2.2. The particularized hospital services set forth in the "Required Network Provider Types" document are required to be in the network pursuant to Rule 1300.67.2(g)(3) and are also measured as part of the D</w:t>
      </w:r>
      <w:r w:rsidR="00047C42" w:rsidRPr="00D47D0E">
        <w:rPr>
          <w:rFonts w:ascii="Arial" w:hAnsi="Arial" w:cs="Arial"/>
          <w:sz w:val="24"/>
          <w:szCs w:val="24"/>
        </w:rPr>
        <w:t>MHC</w:t>
      </w:r>
      <w:r w:rsidRPr="00D47D0E">
        <w:rPr>
          <w:rFonts w:ascii="Arial" w:hAnsi="Arial" w:cs="Arial"/>
          <w:sz w:val="24"/>
          <w:szCs w:val="24"/>
        </w:rPr>
        <w:t>'s Geographic Access Standards and Methodology</w:t>
      </w:r>
      <w:r w:rsidR="0083409E">
        <w:rPr>
          <w:rFonts w:ascii="Arial" w:hAnsi="Arial" w:cs="Arial"/>
          <w:sz w:val="24"/>
          <w:szCs w:val="24"/>
        </w:rPr>
        <w:t xml:space="preserve"> for Specialists, Ancillary, and Facility Providers</w:t>
      </w:r>
      <w:r w:rsidRPr="00D47D0E">
        <w:rPr>
          <w:rFonts w:ascii="Arial" w:hAnsi="Arial" w:cs="Arial"/>
          <w:sz w:val="24"/>
          <w:szCs w:val="24"/>
        </w:rPr>
        <w:t>. The identified hospital services are critical to ensuring enrollees have adequa</w:t>
      </w:r>
      <w:r w:rsidR="00E33164" w:rsidRPr="00D47D0E">
        <w:rPr>
          <w:rFonts w:ascii="Arial" w:hAnsi="Arial" w:cs="Arial"/>
          <w:sz w:val="24"/>
          <w:szCs w:val="24"/>
        </w:rPr>
        <w:t>te</w:t>
      </w:r>
      <w:r w:rsidRPr="00D47D0E">
        <w:rPr>
          <w:rFonts w:ascii="Arial" w:hAnsi="Arial" w:cs="Arial"/>
          <w:sz w:val="24"/>
          <w:szCs w:val="24"/>
        </w:rPr>
        <w:t xml:space="preserve"> access to services health plans are legally required to cover.</w:t>
      </w:r>
    </w:p>
    <w:p w14:paraId="0A255318" w14:textId="1180B5AC" w:rsidR="00205719" w:rsidRPr="00D47D0E" w:rsidRDefault="00205719" w:rsidP="00D47D0E">
      <w:pPr>
        <w:pStyle w:val="ListParagraph"/>
        <w:numPr>
          <w:ilvl w:val="0"/>
          <w:numId w:val="37"/>
        </w:numPr>
        <w:spacing w:after="240" w:line="240" w:lineRule="auto"/>
        <w:contextualSpacing w:val="0"/>
        <w:rPr>
          <w:rFonts w:ascii="Arial" w:hAnsi="Arial" w:cs="Arial"/>
          <w:sz w:val="24"/>
          <w:szCs w:val="24"/>
        </w:rPr>
      </w:pPr>
      <w:r w:rsidRPr="00D47D0E">
        <w:rPr>
          <w:rFonts w:ascii="Arial" w:hAnsi="Arial" w:cs="Arial"/>
          <w:b/>
          <w:bCs/>
          <w:sz w:val="24"/>
          <w:szCs w:val="24"/>
        </w:rPr>
        <w:t>Can the DMHC define the following facility types listed in the Required Network Provider Type Document:</w:t>
      </w:r>
    </w:p>
    <w:p w14:paraId="54F16CE6" w14:textId="3F372CE1" w:rsidR="00205719" w:rsidRPr="00D47D0E" w:rsidRDefault="00205719" w:rsidP="00D47D0E">
      <w:pPr>
        <w:pStyle w:val="ListParagraph"/>
        <w:tabs>
          <w:tab w:val="left" w:pos="1440"/>
        </w:tabs>
        <w:spacing w:after="240" w:line="240" w:lineRule="auto"/>
        <w:ind w:left="1350" w:hanging="270"/>
        <w:contextualSpacing w:val="0"/>
        <w:rPr>
          <w:rFonts w:ascii="Arial" w:hAnsi="Arial" w:cs="Arial"/>
          <w:b/>
          <w:bCs/>
          <w:sz w:val="24"/>
          <w:szCs w:val="24"/>
        </w:rPr>
      </w:pPr>
      <w:r w:rsidRPr="00D47D0E">
        <w:rPr>
          <w:rFonts w:ascii="Arial" w:hAnsi="Arial" w:cs="Arial"/>
          <w:b/>
          <w:bCs/>
          <w:sz w:val="24"/>
          <w:szCs w:val="24"/>
        </w:rPr>
        <w:t>1. Acute Psychiatric Hospital (or general acute care hospital with an inpatient psychiatric unit)</w:t>
      </w:r>
    </w:p>
    <w:p w14:paraId="4CEBA1B3" w14:textId="42C18D77" w:rsidR="00205719" w:rsidRPr="00D47D0E" w:rsidRDefault="00205719" w:rsidP="00D47D0E">
      <w:pPr>
        <w:pStyle w:val="ListParagraph"/>
        <w:spacing w:after="240" w:line="240" w:lineRule="auto"/>
        <w:ind w:left="1080"/>
        <w:contextualSpacing w:val="0"/>
        <w:rPr>
          <w:rFonts w:ascii="Arial" w:hAnsi="Arial" w:cs="Arial"/>
          <w:b/>
          <w:bCs/>
          <w:sz w:val="24"/>
          <w:szCs w:val="24"/>
        </w:rPr>
      </w:pPr>
      <w:r w:rsidRPr="00D47D0E">
        <w:rPr>
          <w:rFonts w:ascii="Arial" w:hAnsi="Arial" w:cs="Arial"/>
          <w:b/>
          <w:bCs/>
          <w:sz w:val="24"/>
          <w:szCs w:val="24"/>
        </w:rPr>
        <w:t>2. Psychiatric Health Facility</w:t>
      </w:r>
    </w:p>
    <w:p w14:paraId="06A72A52" w14:textId="165CE899" w:rsidR="00205719" w:rsidRPr="00D47D0E" w:rsidRDefault="00205719" w:rsidP="00D47D0E">
      <w:pPr>
        <w:pStyle w:val="ListParagraph"/>
        <w:spacing w:after="240" w:line="240" w:lineRule="auto"/>
        <w:ind w:left="1080"/>
        <w:contextualSpacing w:val="0"/>
        <w:rPr>
          <w:rFonts w:ascii="Arial" w:hAnsi="Arial" w:cs="Arial"/>
          <w:b/>
          <w:bCs/>
          <w:sz w:val="24"/>
          <w:szCs w:val="24"/>
        </w:rPr>
      </w:pPr>
      <w:r w:rsidRPr="00D47D0E">
        <w:rPr>
          <w:rFonts w:ascii="Arial" w:hAnsi="Arial" w:cs="Arial"/>
          <w:b/>
          <w:bCs/>
          <w:sz w:val="24"/>
          <w:szCs w:val="24"/>
        </w:rPr>
        <w:t>3. Chemical Dependency Recovery Hospital</w:t>
      </w:r>
    </w:p>
    <w:p w14:paraId="560F3A8B" w14:textId="0553EB4F" w:rsidR="00205719" w:rsidRPr="00D47D0E" w:rsidRDefault="00205719" w:rsidP="00D47D0E">
      <w:pPr>
        <w:pStyle w:val="ListParagraph"/>
        <w:spacing w:after="240" w:line="240" w:lineRule="auto"/>
        <w:ind w:left="1080"/>
        <w:contextualSpacing w:val="0"/>
        <w:rPr>
          <w:rFonts w:ascii="Arial" w:hAnsi="Arial" w:cs="Arial"/>
          <w:b/>
          <w:bCs/>
          <w:sz w:val="24"/>
          <w:szCs w:val="24"/>
        </w:rPr>
      </w:pPr>
      <w:r w:rsidRPr="00D47D0E">
        <w:rPr>
          <w:rFonts w:ascii="Arial" w:hAnsi="Arial" w:cs="Arial"/>
          <w:b/>
          <w:bCs/>
          <w:sz w:val="24"/>
          <w:szCs w:val="24"/>
        </w:rPr>
        <w:t>4. Alcohol and Other Drug (Outpatient)</w:t>
      </w:r>
    </w:p>
    <w:p w14:paraId="5BA8E46C" w14:textId="323715A3" w:rsidR="00D84157" w:rsidRPr="00D47D0E" w:rsidRDefault="00205719" w:rsidP="00D47D0E">
      <w:pPr>
        <w:pStyle w:val="ListParagraph"/>
        <w:spacing w:after="240" w:line="240" w:lineRule="auto"/>
        <w:ind w:left="1080"/>
        <w:contextualSpacing w:val="0"/>
        <w:rPr>
          <w:rFonts w:ascii="Arial" w:hAnsi="Arial" w:cs="Arial"/>
          <w:b/>
          <w:bCs/>
          <w:sz w:val="24"/>
          <w:szCs w:val="24"/>
        </w:rPr>
      </w:pPr>
      <w:r w:rsidRPr="00D47D0E">
        <w:rPr>
          <w:rFonts w:ascii="Arial" w:hAnsi="Arial" w:cs="Arial"/>
          <w:b/>
          <w:bCs/>
          <w:sz w:val="24"/>
          <w:szCs w:val="24"/>
        </w:rPr>
        <w:t>5. Mental Health Rehabilitation Centers</w:t>
      </w:r>
    </w:p>
    <w:p w14:paraId="712B27C4" w14:textId="316F480F" w:rsidR="00D84157" w:rsidRPr="00D47D0E" w:rsidRDefault="00D84157" w:rsidP="00D47D0E">
      <w:pPr>
        <w:pStyle w:val="ListParagraph"/>
        <w:spacing w:after="240" w:line="240" w:lineRule="auto"/>
        <w:ind w:left="1080"/>
        <w:contextualSpacing w:val="0"/>
        <w:rPr>
          <w:rFonts w:ascii="Arial" w:hAnsi="Arial" w:cs="Arial"/>
          <w:sz w:val="24"/>
          <w:szCs w:val="24"/>
        </w:rPr>
      </w:pPr>
      <w:r w:rsidRPr="00D47D0E">
        <w:rPr>
          <w:rFonts w:ascii="Arial" w:hAnsi="Arial" w:cs="Arial"/>
          <w:sz w:val="24"/>
          <w:szCs w:val="24"/>
        </w:rPr>
        <w:t xml:space="preserve">The DMHC relies on definitions established in existing laws, regulations, and standards </w:t>
      </w:r>
      <w:r w:rsidR="002556F7" w:rsidRPr="00D47D0E">
        <w:rPr>
          <w:rFonts w:ascii="Arial" w:hAnsi="Arial" w:cs="Arial"/>
          <w:sz w:val="24"/>
          <w:szCs w:val="24"/>
        </w:rPr>
        <w:t>for health facilities listed in the Required Network Provider Types document. This includes the Health and Safety Code (HSC), Welfare and Institutions Code (WIC), and California Code of Regulations (CCR).</w:t>
      </w:r>
      <w:r w:rsidR="00906961" w:rsidRPr="00D47D0E">
        <w:rPr>
          <w:rFonts w:ascii="Arial" w:hAnsi="Arial" w:cs="Arial"/>
          <w:sz w:val="24"/>
          <w:szCs w:val="24"/>
        </w:rPr>
        <w:t xml:space="preserve"> </w:t>
      </w:r>
      <w:r w:rsidRPr="00D47D0E">
        <w:rPr>
          <w:rFonts w:ascii="Arial" w:hAnsi="Arial" w:cs="Arial"/>
          <w:sz w:val="24"/>
          <w:szCs w:val="24"/>
        </w:rPr>
        <w:t>Please see the following statutory and regulatory references for these facility types:</w:t>
      </w:r>
    </w:p>
    <w:p w14:paraId="0F08FA6B" w14:textId="3638443D" w:rsidR="00D84157" w:rsidRPr="00D47D0E" w:rsidRDefault="00D84157" w:rsidP="00D47D0E">
      <w:pPr>
        <w:pStyle w:val="ListParagraph"/>
        <w:spacing w:after="240" w:line="240" w:lineRule="auto"/>
        <w:ind w:left="1530" w:hanging="450"/>
        <w:contextualSpacing w:val="0"/>
        <w:rPr>
          <w:rFonts w:ascii="Arial" w:hAnsi="Arial" w:cs="Arial"/>
          <w:sz w:val="24"/>
          <w:szCs w:val="24"/>
        </w:rPr>
      </w:pPr>
      <w:r w:rsidRPr="00D47D0E">
        <w:rPr>
          <w:rFonts w:ascii="Arial" w:hAnsi="Arial" w:cs="Arial"/>
          <w:sz w:val="24"/>
          <w:szCs w:val="24"/>
        </w:rPr>
        <w:t>1.</w:t>
      </w:r>
      <w:r w:rsidRPr="00D47D0E">
        <w:rPr>
          <w:rFonts w:ascii="Arial" w:hAnsi="Arial" w:cs="Arial"/>
          <w:sz w:val="24"/>
          <w:szCs w:val="24"/>
        </w:rPr>
        <w:tab/>
        <w:t>Acute Psychiatric Hospital – This is defined in Health and Safety Code section 1250(b).</w:t>
      </w:r>
    </w:p>
    <w:p w14:paraId="2D2C58B6" w14:textId="56FF9BA8" w:rsidR="00906961" w:rsidRPr="00D47D0E" w:rsidRDefault="00D84157" w:rsidP="00D47D0E">
      <w:pPr>
        <w:pStyle w:val="ListParagraph"/>
        <w:spacing w:after="240" w:line="240" w:lineRule="auto"/>
        <w:ind w:left="1530" w:hanging="450"/>
        <w:contextualSpacing w:val="0"/>
        <w:rPr>
          <w:rFonts w:ascii="Arial" w:hAnsi="Arial" w:cs="Arial"/>
          <w:sz w:val="24"/>
          <w:szCs w:val="24"/>
        </w:rPr>
      </w:pPr>
      <w:r w:rsidRPr="00D47D0E">
        <w:rPr>
          <w:rFonts w:ascii="Arial" w:hAnsi="Arial" w:cs="Arial"/>
          <w:sz w:val="24"/>
          <w:szCs w:val="24"/>
        </w:rPr>
        <w:t>2.</w:t>
      </w:r>
      <w:r w:rsidRPr="00D47D0E">
        <w:rPr>
          <w:rFonts w:ascii="Arial" w:hAnsi="Arial" w:cs="Arial"/>
          <w:sz w:val="24"/>
          <w:szCs w:val="24"/>
        </w:rPr>
        <w:tab/>
        <w:t>General Acute Care Hospital with an inpatient psychiatric unit - General acute care hospital is defined in Health and Safety Code section 1250(a). Psychiatric unit is defined in 22 CCR § 70575.</w:t>
      </w:r>
    </w:p>
    <w:p w14:paraId="6CB47453" w14:textId="3C5BFED5" w:rsidR="00D84157" w:rsidRPr="00D47D0E" w:rsidRDefault="00D84157" w:rsidP="00D47D0E">
      <w:pPr>
        <w:pStyle w:val="ListParagraph"/>
        <w:spacing w:after="240" w:line="240" w:lineRule="auto"/>
        <w:ind w:left="1530" w:hanging="450"/>
        <w:contextualSpacing w:val="0"/>
        <w:rPr>
          <w:rFonts w:ascii="Arial" w:hAnsi="Arial" w:cs="Arial"/>
          <w:sz w:val="24"/>
          <w:szCs w:val="24"/>
        </w:rPr>
      </w:pPr>
      <w:r w:rsidRPr="00D47D0E">
        <w:rPr>
          <w:rFonts w:ascii="Arial" w:hAnsi="Arial" w:cs="Arial"/>
          <w:sz w:val="24"/>
          <w:szCs w:val="24"/>
        </w:rPr>
        <w:t>3.</w:t>
      </w:r>
      <w:r w:rsidRPr="00D47D0E">
        <w:rPr>
          <w:rFonts w:ascii="Arial" w:hAnsi="Arial" w:cs="Arial"/>
          <w:sz w:val="24"/>
          <w:szCs w:val="24"/>
        </w:rPr>
        <w:tab/>
        <w:t>Psychiatric Health Facility – This is defined in Health and Safety Code section 1250.2(a)(1) and 9 CCR § 1810.236.</w:t>
      </w:r>
    </w:p>
    <w:p w14:paraId="56D894FF" w14:textId="68FBF514" w:rsidR="00D84157" w:rsidRPr="00D47D0E" w:rsidRDefault="00D84157" w:rsidP="00D47D0E">
      <w:pPr>
        <w:pStyle w:val="ListParagraph"/>
        <w:spacing w:after="240" w:line="240" w:lineRule="auto"/>
        <w:ind w:left="1530" w:hanging="450"/>
        <w:contextualSpacing w:val="0"/>
        <w:rPr>
          <w:rFonts w:ascii="Arial" w:hAnsi="Arial" w:cs="Arial"/>
          <w:sz w:val="24"/>
          <w:szCs w:val="24"/>
        </w:rPr>
      </w:pPr>
      <w:r w:rsidRPr="00D47D0E">
        <w:rPr>
          <w:rFonts w:ascii="Arial" w:hAnsi="Arial" w:cs="Arial"/>
          <w:sz w:val="24"/>
          <w:szCs w:val="24"/>
        </w:rPr>
        <w:t>4.</w:t>
      </w:r>
      <w:r w:rsidRPr="00D47D0E">
        <w:rPr>
          <w:rFonts w:ascii="Arial" w:hAnsi="Arial" w:cs="Arial"/>
          <w:sz w:val="24"/>
          <w:szCs w:val="24"/>
        </w:rPr>
        <w:tab/>
        <w:t>Chemical Dependency Recovery Hospital – This is defined in Health and Safety Code section 1250.3(a)(1).</w:t>
      </w:r>
    </w:p>
    <w:p w14:paraId="15BD5711" w14:textId="38E66E2F" w:rsidR="00D84157" w:rsidRPr="00D47D0E" w:rsidRDefault="00D84157" w:rsidP="00D47D0E">
      <w:pPr>
        <w:pStyle w:val="ListParagraph"/>
        <w:spacing w:after="240" w:line="240" w:lineRule="auto"/>
        <w:ind w:left="1530" w:hanging="450"/>
        <w:contextualSpacing w:val="0"/>
        <w:rPr>
          <w:rFonts w:ascii="Arial" w:hAnsi="Arial" w:cs="Arial"/>
          <w:sz w:val="24"/>
          <w:szCs w:val="24"/>
        </w:rPr>
      </w:pPr>
      <w:r w:rsidRPr="00D47D0E">
        <w:rPr>
          <w:rFonts w:ascii="Arial" w:hAnsi="Arial" w:cs="Arial"/>
          <w:sz w:val="24"/>
          <w:szCs w:val="24"/>
        </w:rPr>
        <w:t>5.</w:t>
      </w:r>
      <w:r w:rsidRPr="00D47D0E">
        <w:rPr>
          <w:rFonts w:ascii="Arial" w:hAnsi="Arial" w:cs="Arial"/>
          <w:sz w:val="24"/>
          <w:szCs w:val="24"/>
        </w:rPr>
        <w:tab/>
        <w:t>Alcohol and Other Drug (Outpatient) – This is an outpatient facility that provides outpatient addiction treatment services in accordance with Health and Safety Code section 11832.2, and is certified in accordance with Chapter 7.1, Part 2, Division 10.5 of the Health and Safety Code (commencing with Section 11832).</w:t>
      </w:r>
    </w:p>
    <w:p w14:paraId="0784F7B7" w14:textId="1BC1F3C1" w:rsidR="00D84157" w:rsidRPr="00D47D0E" w:rsidRDefault="00D84157" w:rsidP="00D47D0E">
      <w:pPr>
        <w:pStyle w:val="ListParagraph"/>
        <w:spacing w:after="240" w:line="240" w:lineRule="auto"/>
        <w:ind w:left="1530" w:hanging="450"/>
        <w:contextualSpacing w:val="0"/>
        <w:rPr>
          <w:rFonts w:ascii="Arial" w:hAnsi="Arial" w:cs="Arial"/>
          <w:sz w:val="24"/>
          <w:szCs w:val="24"/>
        </w:rPr>
      </w:pPr>
      <w:r w:rsidRPr="00D47D0E">
        <w:rPr>
          <w:rFonts w:ascii="Arial" w:hAnsi="Arial" w:cs="Arial"/>
          <w:sz w:val="24"/>
          <w:szCs w:val="24"/>
        </w:rPr>
        <w:t>6.</w:t>
      </w:r>
      <w:r w:rsidRPr="00D47D0E">
        <w:rPr>
          <w:rFonts w:ascii="Arial" w:hAnsi="Arial" w:cs="Arial"/>
          <w:sz w:val="24"/>
          <w:szCs w:val="24"/>
        </w:rPr>
        <w:tab/>
        <w:t>Mental Health Rehabilitation Centers – This is defined in 9 CCR § 782.34. Additionally, the Welfare and Institutions Code section 5675 sets forth requirements for these facilities.</w:t>
      </w:r>
    </w:p>
    <w:p w14:paraId="748C92C6" w14:textId="2417C6ED" w:rsidR="001C6E87" w:rsidRPr="00D47D0E" w:rsidRDefault="001C6E87" w:rsidP="00D47D0E">
      <w:pPr>
        <w:pStyle w:val="AccessibleHeader"/>
        <w:spacing w:before="0" w:line="240" w:lineRule="auto"/>
      </w:pPr>
      <w:r w:rsidRPr="00D47D0E">
        <w:t xml:space="preserve">Mental Health Utilization </w:t>
      </w:r>
      <w:r w:rsidR="0081685E" w:rsidRPr="00D47D0E">
        <w:t xml:space="preserve">Standards and </w:t>
      </w:r>
      <w:r w:rsidRPr="00D47D0E">
        <w:t>Methodology:</w:t>
      </w:r>
    </w:p>
    <w:p w14:paraId="5AE3B57C" w14:textId="01CA016A" w:rsidR="005B3FDA" w:rsidRPr="00D47D0E" w:rsidRDefault="005B3FDA" w:rsidP="00D47D0E">
      <w:pPr>
        <w:pStyle w:val="ListParagraph"/>
        <w:numPr>
          <w:ilvl w:val="0"/>
          <w:numId w:val="34"/>
        </w:numPr>
        <w:spacing w:after="240" w:line="240" w:lineRule="auto"/>
        <w:contextualSpacing w:val="0"/>
        <w:rPr>
          <w:rFonts w:ascii="Arial" w:hAnsi="Arial" w:cs="Arial"/>
          <w:sz w:val="24"/>
          <w:szCs w:val="24"/>
        </w:rPr>
      </w:pPr>
      <w:r w:rsidRPr="00D47D0E">
        <w:rPr>
          <w:rFonts w:ascii="Arial" w:hAnsi="Arial" w:cs="Arial"/>
          <w:b/>
          <w:bCs/>
          <w:sz w:val="24"/>
          <w:szCs w:val="24"/>
        </w:rPr>
        <w:t>Why does the Annual Network Review evaluate reported clinical encounter data for Mental Health providers through the Mental Health Utilization Standards and Methodology? Will the DMHC use this data to evaluate network adequacy for other provider types?</w:t>
      </w:r>
    </w:p>
    <w:p w14:paraId="15EFF76B" w14:textId="08FC0F13" w:rsidR="008854D8" w:rsidRPr="00D47D0E" w:rsidRDefault="008854D8" w:rsidP="00D47D0E">
      <w:pPr>
        <w:pStyle w:val="ListParagraph"/>
        <w:spacing w:after="240" w:line="240" w:lineRule="auto"/>
        <w:ind w:left="1080"/>
        <w:contextualSpacing w:val="0"/>
        <w:rPr>
          <w:rFonts w:ascii="Arial" w:hAnsi="Arial" w:cs="Arial"/>
          <w:sz w:val="24"/>
          <w:szCs w:val="24"/>
        </w:rPr>
      </w:pPr>
      <w:r w:rsidRPr="00D47D0E">
        <w:rPr>
          <w:rFonts w:ascii="Arial" w:hAnsi="Arial" w:cs="Arial"/>
          <w:sz w:val="24"/>
          <w:szCs w:val="24"/>
        </w:rPr>
        <w:t>The DMHC is collecting and reviewing data related to clinical encounters with network providers in order to identify reported network providers who rarely or never render services to a health plan enrollee or are not in fact available to enrollees in the network. Starting in RY 2023, the DMHC began collecting data related to clinical encounters with mental health professionals. Using this mental health clinical encounter</w:t>
      </w:r>
      <w:r w:rsidRPr="00D47D0E">
        <w:rPr>
          <w:rFonts w:ascii="Arial" w:hAnsi="Arial" w:cs="Arial"/>
          <w:b/>
          <w:bCs/>
          <w:sz w:val="24"/>
          <w:szCs w:val="24"/>
        </w:rPr>
        <w:t xml:space="preserve"> </w:t>
      </w:r>
      <w:r w:rsidRPr="00D47D0E">
        <w:rPr>
          <w:rFonts w:ascii="Arial" w:hAnsi="Arial" w:cs="Arial"/>
          <w:sz w:val="24"/>
          <w:szCs w:val="24"/>
        </w:rPr>
        <w:t xml:space="preserve">data captured since RY 2023, the DMHC has issued informal findings to health plans for mental health network concerns when a substantial majority of mental health professionals appear not to have provided services to any </w:t>
      </w:r>
      <w:r w:rsidR="00A804BD" w:rsidRPr="00D47D0E">
        <w:rPr>
          <w:rFonts w:ascii="Arial" w:hAnsi="Arial" w:cs="Arial"/>
          <w:sz w:val="24"/>
          <w:szCs w:val="24"/>
        </w:rPr>
        <w:t xml:space="preserve">of the </w:t>
      </w:r>
      <w:r w:rsidRPr="00D47D0E">
        <w:rPr>
          <w:rFonts w:ascii="Arial" w:hAnsi="Arial" w:cs="Arial"/>
          <w:sz w:val="24"/>
          <w:szCs w:val="24"/>
        </w:rPr>
        <w:t>enrollees in the network within the past year. Based on the results of this analysis and feedback received from health plans, the DMHC has developed standards that address the availability of mental health network providers and services pursuant to Section 1367.03(f)(5).</w:t>
      </w:r>
    </w:p>
    <w:p w14:paraId="669AA775" w14:textId="51FDA3B9" w:rsidR="008854D8" w:rsidRPr="00D47D0E" w:rsidRDefault="008854D8" w:rsidP="00D47D0E">
      <w:pPr>
        <w:pStyle w:val="ListParagraph"/>
        <w:spacing w:after="240" w:line="240" w:lineRule="auto"/>
        <w:ind w:left="1080"/>
        <w:contextualSpacing w:val="0"/>
        <w:rPr>
          <w:rFonts w:ascii="Arial" w:hAnsi="Arial" w:cs="Arial"/>
          <w:sz w:val="24"/>
          <w:szCs w:val="24"/>
        </w:rPr>
      </w:pPr>
      <w:r w:rsidRPr="00D47D0E">
        <w:rPr>
          <w:rFonts w:ascii="Arial" w:hAnsi="Arial" w:cs="Arial"/>
          <w:sz w:val="24"/>
          <w:szCs w:val="24"/>
        </w:rPr>
        <w:t>While the DMHC may consider clinical encounter data for all provider types as part of its annual network review, the DMHC intends to continue focusing its review of this data only in the evaluation of mental health networks. For RY 2026, the DMHC will evaluate a network's mental health clinical encounter data to determine if there are sufficient numbers of network providers to provide readily available mental health services. Plans may be considered by the DMHC to be non-compliant with the sufficiency and availability requirements if the network does not meet the standards and methodology in the Mental Health Utilization Standards and Methodology, incorporated in Rule 1300.67.2.</w:t>
      </w:r>
    </w:p>
    <w:p w14:paraId="4E05D387" w14:textId="3D5EC0AF" w:rsidR="008854D8" w:rsidRPr="00D47D0E" w:rsidRDefault="008854D8" w:rsidP="00D47D0E">
      <w:pPr>
        <w:pStyle w:val="ListParagraph"/>
        <w:spacing w:after="240" w:line="240" w:lineRule="auto"/>
        <w:ind w:left="1080"/>
        <w:contextualSpacing w:val="0"/>
        <w:rPr>
          <w:rFonts w:ascii="Arial" w:hAnsi="Arial" w:cs="Arial"/>
          <w:sz w:val="24"/>
          <w:szCs w:val="24"/>
        </w:rPr>
      </w:pPr>
      <w:r w:rsidRPr="00D47D0E">
        <w:rPr>
          <w:rFonts w:ascii="Arial" w:hAnsi="Arial" w:cs="Arial"/>
          <w:sz w:val="24"/>
          <w:szCs w:val="24"/>
        </w:rPr>
        <w:t>In future years, DMHC may evaluate the need for standards that address the availability of other provider types through clinical encounters. If these standards are developed, stakeholders will have an opportunity to provide feedback prior to noticing and adopting them.</w:t>
      </w:r>
    </w:p>
    <w:p w14:paraId="6DE06E76" w14:textId="3D75C9DE" w:rsidR="00545273" w:rsidRPr="00D47D0E" w:rsidRDefault="008854D8" w:rsidP="00D47D0E">
      <w:pPr>
        <w:pStyle w:val="ListParagraph"/>
        <w:spacing w:after="240" w:line="240" w:lineRule="auto"/>
        <w:ind w:left="1080"/>
        <w:contextualSpacing w:val="0"/>
        <w:rPr>
          <w:rFonts w:ascii="Arial" w:hAnsi="Arial" w:cs="Arial"/>
          <w:sz w:val="24"/>
          <w:szCs w:val="24"/>
        </w:rPr>
      </w:pPr>
      <w:r w:rsidRPr="00D47D0E">
        <w:rPr>
          <w:rFonts w:ascii="Arial" w:hAnsi="Arial" w:cs="Arial"/>
          <w:sz w:val="24"/>
          <w:szCs w:val="24"/>
        </w:rPr>
        <w:t>For further information on the reporting of clinical encounter data, refer to FAQ No. 14 in the Frequently Asked Question Document accompanying APL 25-</w:t>
      </w:r>
      <w:r w:rsidR="00FE61F0" w:rsidRPr="00D47D0E">
        <w:rPr>
          <w:rFonts w:ascii="Arial" w:hAnsi="Arial" w:cs="Arial"/>
          <w:sz w:val="24"/>
          <w:szCs w:val="24"/>
        </w:rPr>
        <w:t>013</w:t>
      </w:r>
      <w:r w:rsidRPr="00D47D0E">
        <w:rPr>
          <w:rFonts w:ascii="Arial" w:hAnsi="Arial" w:cs="Arial"/>
          <w:sz w:val="24"/>
          <w:szCs w:val="24"/>
        </w:rPr>
        <w:t xml:space="preserve"> (</w:t>
      </w:r>
      <w:r w:rsidR="00FE61F0" w:rsidRPr="00D47D0E">
        <w:rPr>
          <w:rFonts w:ascii="Arial" w:hAnsi="Arial" w:cs="Arial"/>
          <w:sz w:val="24"/>
          <w:szCs w:val="24"/>
        </w:rPr>
        <w:t>September 4, 2025</w:t>
      </w:r>
      <w:r w:rsidRPr="00D47D0E">
        <w:rPr>
          <w:rFonts w:ascii="Arial" w:hAnsi="Arial" w:cs="Arial"/>
          <w:sz w:val="24"/>
          <w:szCs w:val="24"/>
        </w:rPr>
        <w:t>)</w:t>
      </w:r>
      <w:r w:rsidR="00FE61F0" w:rsidRPr="00D47D0E">
        <w:rPr>
          <w:rFonts w:ascii="Arial" w:hAnsi="Arial" w:cs="Arial"/>
          <w:sz w:val="24"/>
          <w:szCs w:val="24"/>
        </w:rPr>
        <w:t xml:space="preserve">, addressing </w:t>
      </w:r>
      <w:r w:rsidR="00381B25" w:rsidRPr="00D47D0E">
        <w:rPr>
          <w:rFonts w:ascii="Arial" w:hAnsi="Arial" w:cs="Arial"/>
          <w:sz w:val="24"/>
          <w:szCs w:val="24"/>
        </w:rPr>
        <w:t>the Annual Network Report Submission for RY 2026.</w:t>
      </w:r>
    </w:p>
    <w:p w14:paraId="0C842DA2" w14:textId="6640D99B" w:rsidR="00545273" w:rsidRPr="00D47D0E" w:rsidRDefault="00545273" w:rsidP="00D47D0E">
      <w:pPr>
        <w:pStyle w:val="ListParagraph"/>
        <w:numPr>
          <w:ilvl w:val="0"/>
          <w:numId w:val="34"/>
        </w:numPr>
        <w:spacing w:after="240" w:line="240" w:lineRule="auto"/>
        <w:contextualSpacing w:val="0"/>
        <w:rPr>
          <w:rFonts w:ascii="Arial" w:hAnsi="Arial" w:cs="Arial"/>
          <w:sz w:val="24"/>
          <w:szCs w:val="24"/>
        </w:rPr>
      </w:pPr>
      <w:r w:rsidRPr="00D47D0E">
        <w:rPr>
          <w:rFonts w:ascii="Arial" w:hAnsi="Arial" w:cs="Arial"/>
          <w:b/>
          <w:bCs/>
          <w:sz w:val="24"/>
          <w:szCs w:val="24"/>
        </w:rPr>
        <w:t>How do the Mental Health Utilization Standards and Methodology measure network adequacy?</w:t>
      </w:r>
    </w:p>
    <w:p w14:paraId="6FF8C383" w14:textId="2552AF75" w:rsidR="000E3C85" w:rsidRPr="00D47D0E" w:rsidRDefault="002258DC" w:rsidP="00D47D0E">
      <w:pPr>
        <w:pStyle w:val="ListParagraph"/>
        <w:spacing w:after="240" w:line="240" w:lineRule="auto"/>
        <w:ind w:left="1080"/>
        <w:contextualSpacing w:val="0"/>
        <w:rPr>
          <w:rFonts w:ascii="Arial" w:hAnsi="Arial" w:cs="Arial"/>
          <w:sz w:val="24"/>
          <w:szCs w:val="24"/>
        </w:rPr>
      </w:pPr>
      <w:r w:rsidRPr="00D47D0E">
        <w:rPr>
          <w:rFonts w:ascii="Arial" w:hAnsi="Arial" w:cs="Arial"/>
          <w:sz w:val="24"/>
          <w:szCs w:val="24"/>
        </w:rPr>
        <w:t xml:space="preserve">The Mental Health Utilization Standards and Methodology measures whether there are sufficient numbers of licensed mental health network providers available to provide care to enrollees in the network. This is not a measure of compliance with timely access standards or geographic access standards; </w:t>
      </w:r>
      <w:r w:rsidR="0069010B" w:rsidRPr="00D47D0E">
        <w:rPr>
          <w:rFonts w:ascii="Arial" w:hAnsi="Arial" w:cs="Arial"/>
          <w:sz w:val="24"/>
          <w:szCs w:val="24"/>
        </w:rPr>
        <w:t>instead,</w:t>
      </w:r>
      <w:r w:rsidR="00E143F1" w:rsidRPr="00D47D0E">
        <w:rPr>
          <w:rFonts w:ascii="Segoe UI" w:hAnsi="Segoe UI" w:cs="Segoe UI"/>
          <w:sz w:val="18"/>
          <w:szCs w:val="18"/>
        </w:rPr>
        <w:t xml:space="preserve"> </w:t>
      </w:r>
      <w:r w:rsidR="00E143F1" w:rsidRPr="00D47D0E">
        <w:rPr>
          <w:rFonts w:ascii="Arial" w:hAnsi="Arial" w:cs="Arial"/>
          <w:sz w:val="24"/>
          <w:szCs w:val="24"/>
        </w:rPr>
        <w:t>it identifies networks that rely on providers to meet those standards who may not actually be available to enrollees in the network.</w:t>
      </w:r>
    </w:p>
    <w:p w14:paraId="51BACEB6" w14:textId="2BDECEBC" w:rsidR="00047C42" w:rsidRPr="00D47D0E" w:rsidRDefault="000E3C85" w:rsidP="00D47D0E">
      <w:pPr>
        <w:pStyle w:val="ListParagraph"/>
        <w:spacing w:after="240" w:line="240" w:lineRule="auto"/>
        <w:ind w:left="1080"/>
        <w:contextualSpacing w:val="0"/>
        <w:rPr>
          <w:rFonts w:ascii="Arial" w:hAnsi="Arial" w:cs="Arial"/>
          <w:sz w:val="24"/>
          <w:szCs w:val="24"/>
        </w:rPr>
      </w:pPr>
      <w:r w:rsidRPr="00D47D0E">
        <w:rPr>
          <w:rFonts w:ascii="Arial" w:hAnsi="Arial" w:cs="Arial"/>
          <w:sz w:val="24"/>
          <w:szCs w:val="24"/>
        </w:rPr>
        <w:t>The standard</w:t>
      </w:r>
      <w:r w:rsidR="002258DC" w:rsidRPr="00D47D0E">
        <w:rPr>
          <w:rFonts w:ascii="Arial" w:hAnsi="Arial" w:cs="Arial"/>
          <w:sz w:val="24"/>
          <w:szCs w:val="24"/>
        </w:rPr>
        <w:t xml:space="preserve"> identifies networks that have both a high percentage of </w:t>
      </w:r>
      <w:r w:rsidR="0017123F" w:rsidRPr="00D47D0E">
        <w:rPr>
          <w:rFonts w:ascii="Arial" w:hAnsi="Arial" w:cs="Arial"/>
          <w:sz w:val="24"/>
          <w:szCs w:val="24"/>
        </w:rPr>
        <w:t xml:space="preserve">counseling </w:t>
      </w:r>
      <w:r w:rsidR="002258DC" w:rsidRPr="00D47D0E">
        <w:rPr>
          <w:rFonts w:ascii="Arial" w:hAnsi="Arial" w:cs="Arial"/>
          <w:sz w:val="24"/>
          <w:szCs w:val="24"/>
        </w:rPr>
        <w:t xml:space="preserve">mental health professionals that are not seeing any patients in the network, coupled with low enrollee utilization of </w:t>
      </w:r>
      <w:r w:rsidR="00274BA7" w:rsidRPr="00D47D0E">
        <w:rPr>
          <w:rFonts w:ascii="Arial" w:hAnsi="Arial" w:cs="Arial"/>
          <w:sz w:val="24"/>
          <w:szCs w:val="24"/>
        </w:rPr>
        <w:t xml:space="preserve">counseling </w:t>
      </w:r>
      <w:r w:rsidR="002258DC" w:rsidRPr="00D47D0E">
        <w:rPr>
          <w:rFonts w:ascii="Arial" w:hAnsi="Arial" w:cs="Arial"/>
          <w:sz w:val="24"/>
          <w:szCs w:val="24"/>
        </w:rPr>
        <w:t>mental health professional services.</w:t>
      </w:r>
      <w:r w:rsidRPr="00D47D0E">
        <w:rPr>
          <w:rFonts w:ascii="Arial" w:hAnsi="Arial" w:cs="Arial"/>
          <w:sz w:val="24"/>
          <w:szCs w:val="24"/>
        </w:rPr>
        <w:t xml:space="preserve"> </w:t>
      </w:r>
      <w:r w:rsidR="002258DC" w:rsidRPr="00D47D0E">
        <w:rPr>
          <w:rFonts w:ascii="Arial" w:hAnsi="Arial" w:cs="Arial"/>
          <w:sz w:val="24"/>
          <w:szCs w:val="24"/>
        </w:rPr>
        <w:t xml:space="preserve">A health plan fails to meet the standard when both a substantial majority (more than 80%) of reported mental health providers in the network have not provided </w:t>
      </w:r>
      <w:r w:rsidR="00F82C08" w:rsidRPr="00D47D0E">
        <w:rPr>
          <w:rFonts w:ascii="Arial" w:hAnsi="Arial" w:cs="Arial"/>
          <w:sz w:val="24"/>
          <w:szCs w:val="24"/>
        </w:rPr>
        <w:t xml:space="preserve">health </w:t>
      </w:r>
      <w:r w:rsidR="002258DC" w:rsidRPr="00D47D0E">
        <w:rPr>
          <w:rFonts w:ascii="Arial" w:hAnsi="Arial" w:cs="Arial"/>
          <w:sz w:val="24"/>
          <w:szCs w:val="24"/>
        </w:rPr>
        <w:t xml:space="preserve">care </w:t>
      </w:r>
      <w:r w:rsidR="00F82C08" w:rsidRPr="00D47D0E">
        <w:rPr>
          <w:rFonts w:ascii="Arial" w:hAnsi="Arial" w:cs="Arial"/>
          <w:sz w:val="24"/>
          <w:szCs w:val="24"/>
        </w:rPr>
        <w:t xml:space="preserve">services </w:t>
      </w:r>
      <w:r w:rsidR="002258DC" w:rsidRPr="00D47D0E">
        <w:rPr>
          <w:rFonts w:ascii="Arial" w:hAnsi="Arial" w:cs="Arial"/>
          <w:sz w:val="24"/>
          <w:szCs w:val="24"/>
        </w:rPr>
        <w:t xml:space="preserve">to any enrollees in the network during one or more measurement years, and a small percentage (less than 10%) of the network's enrollees accessed </w:t>
      </w:r>
      <w:r w:rsidR="00691F67" w:rsidRPr="00D47D0E">
        <w:rPr>
          <w:rFonts w:ascii="Arial" w:hAnsi="Arial" w:cs="Arial"/>
          <w:sz w:val="24"/>
          <w:szCs w:val="24"/>
        </w:rPr>
        <w:t xml:space="preserve">counseling </w:t>
      </w:r>
      <w:r w:rsidR="002258DC" w:rsidRPr="00D47D0E">
        <w:rPr>
          <w:rFonts w:ascii="Arial" w:hAnsi="Arial" w:cs="Arial"/>
          <w:sz w:val="24"/>
          <w:szCs w:val="24"/>
        </w:rPr>
        <w:t>mental health professional services during this time period. The methodology examines clinical encounters over a one-year period to account for fluctuations in enrollee access. The D</w:t>
      </w:r>
      <w:r w:rsidR="00047C42" w:rsidRPr="00D47D0E">
        <w:rPr>
          <w:rFonts w:ascii="Arial" w:hAnsi="Arial" w:cs="Arial"/>
          <w:sz w:val="24"/>
          <w:szCs w:val="24"/>
        </w:rPr>
        <w:t>MHC</w:t>
      </w:r>
      <w:r w:rsidR="002258DC" w:rsidRPr="00D47D0E">
        <w:rPr>
          <w:rFonts w:ascii="Arial" w:hAnsi="Arial" w:cs="Arial"/>
          <w:sz w:val="24"/>
          <w:szCs w:val="24"/>
        </w:rPr>
        <w:t xml:space="preserve"> also reviews subsequent year filings to assess provider availability over a multi-year period.</w:t>
      </w:r>
    </w:p>
    <w:p w14:paraId="0B9DFD98" w14:textId="3352FE01" w:rsidR="002258DC" w:rsidRPr="00D47D0E" w:rsidRDefault="002258DC" w:rsidP="00D47D0E">
      <w:pPr>
        <w:pStyle w:val="ListParagraph"/>
        <w:spacing w:after="240" w:line="240" w:lineRule="auto"/>
        <w:ind w:left="1080"/>
        <w:contextualSpacing w:val="0"/>
        <w:rPr>
          <w:rFonts w:ascii="Arial" w:hAnsi="Arial" w:cs="Arial"/>
          <w:sz w:val="24"/>
          <w:szCs w:val="24"/>
        </w:rPr>
      </w:pPr>
      <w:r w:rsidRPr="00D47D0E">
        <w:rPr>
          <w:rFonts w:ascii="Arial" w:hAnsi="Arial" w:cs="Arial"/>
          <w:sz w:val="24"/>
          <w:szCs w:val="24"/>
        </w:rPr>
        <w:t>Like other network adequacy measures, when a network fails to meet this standard</w:t>
      </w:r>
      <w:r w:rsidR="0015565F" w:rsidRPr="00D47D0E">
        <w:rPr>
          <w:rFonts w:ascii="Arial" w:hAnsi="Arial" w:cs="Arial"/>
          <w:sz w:val="24"/>
          <w:szCs w:val="24"/>
        </w:rPr>
        <w:t>,</w:t>
      </w:r>
      <w:r w:rsidRPr="00D47D0E">
        <w:rPr>
          <w:rFonts w:ascii="Arial" w:hAnsi="Arial" w:cs="Arial"/>
          <w:sz w:val="24"/>
          <w:szCs w:val="24"/>
        </w:rPr>
        <w:t xml:space="preserve"> it indicates a network adequacy concern. </w:t>
      </w:r>
      <w:r w:rsidR="00E71D10" w:rsidRPr="00D47D0E">
        <w:rPr>
          <w:rFonts w:ascii="Arial" w:hAnsi="Arial" w:cs="Arial"/>
          <w:sz w:val="24"/>
          <w:szCs w:val="24"/>
        </w:rPr>
        <w:t>W</w:t>
      </w:r>
      <w:r w:rsidR="00271D39" w:rsidRPr="00D47D0E">
        <w:rPr>
          <w:rFonts w:ascii="Arial" w:hAnsi="Arial" w:cs="Arial"/>
          <w:sz w:val="24"/>
          <w:szCs w:val="24"/>
        </w:rPr>
        <w:t xml:space="preserve">hen </w:t>
      </w:r>
      <w:r w:rsidR="00C56639" w:rsidRPr="00D47D0E">
        <w:rPr>
          <w:rFonts w:ascii="Arial" w:hAnsi="Arial" w:cs="Arial"/>
          <w:sz w:val="24"/>
          <w:szCs w:val="24"/>
        </w:rPr>
        <w:t xml:space="preserve">20% </w:t>
      </w:r>
      <w:r w:rsidR="00E71D10" w:rsidRPr="00D47D0E">
        <w:rPr>
          <w:rFonts w:ascii="Arial" w:hAnsi="Arial" w:cs="Arial"/>
          <w:sz w:val="24"/>
          <w:szCs w:val="24"/>
        </w:rPr>
        <w:t xml:space="preserve">or fewer </w:t>
      </w:r>
      <w:r w:rsidR="00C56639" w:rsidRPr="00D47D0E">
        <w:rPr>
          <w:rFonts w:ascii="Arial" w:hAnsi="Arial" w:cs="Arial"/>
          <w:sz w:val="24"/>
          <w:szCs w:val="24"/>
        </w:rPr>
        <w:t>of</w:t>
      </w:r>
      <w:r w:rsidR="001C0346" w:rsidRPr="00D47D0E">
        <w:rPr>
          <w:rFonts w:ascii="Arial" w:hAnsi="Arial" w:cs="Arial"/>
          <w:sz w:val="24"/>
          <w:szCs w:val="24"/>
        </w:rPr>
        <w:t xml:space="preserve"> </w:t>
      </w:r>
      <w:r w:rsidR="00E71D10" w:rsidRPr="00D47D0E">
        <w:rPr>
          <w:rFonts w:ascii="Arial" w:hAnsi="Arial" w:cs="Arial"/>
          <w:sz w:val="24"/>
          <w:szCs w:val="24"/>
        </w:rPr>
        <w:t xml:space="preserve">the counseling </w:t>
      </w:r>
      <w:r w:rsidR="00E41C54" w:rsidRPr="00D47D0E">
        <w:rPr>
          <w:rFonts w:ascii="Arial" w:hAnsi="Arial" w:cs="Arial"/>
          <w:sz w:val="24"/>
          <w:szCs w:val="24"/>
        </w:rPr>
        <w:t xml:space="preserve">mental health </w:t>
      </w:r>
      <w:r w:rsidR="001C0346" w:rsidRPr="00D47D0E">
        <w:rPr>
          <w:rFonts w:ascii="Arial" w:hAnsi="Arial" w:cs="Arial"/>
          <w:sz w:val="24"/>
          <w:szCs w:val="24"/>
        </w:rPr>
        <w:t xml:space="preserve">providers in </w:t>
      </w:r>
      <w:r w:rsidR="00E41C54" w:rsidRPr="00D47D0E">
        <w:rPr>
          <w:rFonts w:ascii="Arial" w:hAnsi="Arial" w:cs="Arial"/>
          <w:sz w:val="24"/>
          <w:szCs w:val="24"/>
        </w:rPr>
        <w:t>a</w:t>
      </w:r>
      <w:r w:rsidR="001C0346" w:rsidRPr="00D47D0E">
        <w:rPr>
          <w:rFonts w:ascii="Arial" w:hAnsi="Arial" w:cs="Arial"/>
          <w:sz w:val="24"/>
          <w:szCs w:val="24"/>
        </w:rPr>
        <w:t xml:space="preserve"> network</w:t>
      </w:r>
      <w:r w:rsidR="00E41C54" w:rsidRPr="00D47D0E">
        <w:rPr>
          <w:rFonts w:ascii="Arial" w:hAnsi="Arial" w:cs="Arial"/>
          <w:sz w:val="24"/>
          <w:szCs w:val="24"/>
        </w:rPr>
        <w:t xml:space="preserve"> </w:t>
      </w:r>
      <w:r w:rsidR="0092106E" w:rsidRPr="00D47D0E">
        <w:rPr>
          <w:rFonts w:ascii="Arial" w:hAnsi="Arial" w:cs="Arial"/>
          <w:sz w:val="24"/>
          <w:szCs w:val="24"/>
        </w:rPr>
        <w:t xml:space="preserve">are </w:t>
      </w:r>
      <w:r w:rsidR="00E71D10" w:rsidRPr="00D47D0E">
        <w:rPr>
          <w:rFonts w:ascii="Arial" w:hAnsi="Arial" w:cs="Arial"/>
          <w:sz w:val="24"/>
          <w:szCs w:val="24"/>
        </w:rPr>
        <w:t>seeing</w:t>
      </w:r>
      <w:r w:rsidR="0092106E" w:rsidRPr="00D47D0E">
        <w:rPr>
          <w:rFonts w:ascii="Arial" w:hAnsi="Arial" w:cs="Arial"/>
          <w:sz w:val="24"/>
          <w:szCs w:val="24"/>
        </w:rPr>
        <w:t xml:space="preserve"> patients in the network, and the network </w:t>
      </w:r>
      <w:r w:rsidR="00E41C54" w:rsidRPr="00D47D0E">
        <w:rPr>
          <w:rFonts w:ascii="Arial" w:hAnsi="Arial" w:cs="Arial"/>
          <w:sz w:val="24"/>
          <w:szCs w:val="24"/>
        </w:rPr>
        <w:t xml:space="preserve">also has </w:t>
      </w:r>
      <w:r w:rsidR="26CE496C" w:rsidRPr="00D47D0E">
        <w:rPr>
          <w:rFonts w:ascii="Arial" w:hAnsi="Arial" w:cs="Arial"/>
          <w:sz w:val="24"/>
          <w:szCs w:val="24"/>
        </w:rPr>
        <w:t>lower than expected</w:t>
      </w:r>
      <w:r w:rsidR="00E41C54" w:rsidRPr="00D47D0E">
        <w:rPr>
          <w:rFonts w:ascii="Arial" w:hAnsi="Arial" w:cs="Arial"/>
          <w:sz w:val="24"/>
          <w:szCs w:val="24"/>
        </w:rPr>
        <w:t xml:space="preserve"> mental health utilization, </w:t>
      </w:r>
      <w:r w:rsidRPr="00D47D0E">
        <w:rPr>
          <w:rFonts w:ascii="Arial" w:hAnsi="Arial" w:cs="Arial"/>
          <w:sz w:val="24"/>
          <w:szCs w:val="24"/>
        </w:rPr>
        <w:t xml:space="preserve">it suggests that there are </w:t>
      </w:r>
      <w:r w:rsidR="000E3D64" w:rsidRPr="00D47D0E">
        <w:rPr>
          <w:rFonts w:ascii="Arial" w:hAnsi="Arial" w:cs="Arial"/>
          <w:sz w:val="24"/>
          <w:szCs w:val="24"/>
        </w:rPr>
        <w:t>insufficient numbers of mental health providers</w:t>
      </w:r>
      <w:r w:rsidR="001908D0" w:rsidRPr="00D47D0E">
        <w:rPr>
          <w:rFonts w:ascii="Arial" w:hAnsi="Arial" w:cs="Arial"/>
          <w:sz w:val="24"/>
          <w:szCs w:val="24"/>
        </w:rPr>
        <w:t xml:space="preserve"> available to enrollees</w:t>
      </w:r>
      <w:r w:rsidRPr="00D47D0E">
        <w:rPr>
          <w:rFonts w:ascii="Arial" w:hAnsi="Arial" w:cs="Arial"/>
          <w:sz w:val="24"/>
          <w:szCs w:val="24"/>
        </w:rPr>
        <w:t>.</w:t>
      </w:r>
    </w:p>
    <w:p w14:paraId="661B0C58" w14:textId="0A2A3DD2" w:rsidR="00FA4AA1" w:rsidRPr="00D47D0E" w:rsidRDefault="00545273" w:rsidP="00D47D0E">
      <w:pPr>
        <w:pStyle w:val="ListParagraph"/>
        <w:numPr>
          <w:ilvl w:val="0"/>
          <w:numId w:val="34"/>
        </w:numPr>
        <w:spacing w:after="240" w:line="240" w:lineRule="auto"/>
        <w:contextualSpacing w:val="0"/>
        <w:rPr>
          <w:rFonts w:ascii="Arial" w:hAnsi="Arial" w:cs="Arial"/>
          <w:b/>
          <w:bCs/>
          <w:sz w:val="24"/>
          <w:szCs w:val="24"/>
        </w:rPr>
      </w:pPr>
      <w:r w:rsidRPr="00D47D0E">
        <w:rPr>
          <w:rFonts w:ascii="Arial" w:hAnsi="Arial" w:cs="Arial"/>
          <w:b/>
          <w:bCs/>
          <w:sz w:val="24"/>
          <w:szCs w:val="24"/>
        </w:rPr>
        <w:t>What happens if a health plan network does not meet the Mental Health Utilization Standards and Methodology?</w:t>
      </w:r>
    </w:p>
    <w:p w14:paraId="223458E5" w14:textId="73401DD5" w:rsidR="006E2D6C" w:rsidRPr="00D47D0E" w:rsidRDefault="002A488B" w:rsidP="00D47D0E">
      <w:pPr>
        <w:pStyle w:val="ListParagraph"/>
        <w:spacing w:after="240" w:line="240" w:lineRule="auto"/>
        <w:ind w:left="1080"/>
        <w:contextualSpacing w:val="0"/>
        <w:rPr>
          <w:rFonts w:ascii="Arial" w:hAnsi="Arial" w:cs="Arial"/>
          <w:sz w:val="24"/>
          <w:szCs w:val="24"/>
        </w:rPr>
      </w:pPr>
      <w:r w:rsidRPr="00D47D0E">
        <w:rPr>
          <w:rFonts w:ascii="Arial" w:hAnsi="Arial" w:cs="Arial"/>
          <w:sz w:val="24"/>
          <w:szCs w:val="24"/>
        </w:rPr>
        <w:t>If a plan falls short of the standard, it will be issued a finding and may be required to provide corrective action or a response explaining the reason a substantial majority (more than 80%) of its licensed mental health professionals did not have clinical visits with any enrollees in the network during the previous measurement year, given the low utilization of this provider type in the network (less than 10%). If a plan continues to fall short of the standard in the subsequent year, DMHC will also provide the plan with a list of mental health professionals who had zero clinical encounters in the previous two measurement years, and the plan will be required to provide information on the network availability of the listed providers. If the plan continues to receive findings in subsequent years despite the opportunity for corrective action, the plan may be required to submit a filing amending or modifying its network, or the plan may be referred to the office of enforcement for failure to meet network adequacy standards and requirements, consistent with Rules 1300.67.2.2(j) and (k). The plan will have an opportunity to address the findings or correct the network data prior to any enforcement action.</w:t>
      </w:r>
    </w:p>
    <w:p w14:paraId="25CADEB8" w14:textId="45262116" w:rsidR="007D56A8" w:rsidRPr="00D47D0E" w:rsidRDefault="006E2D6C" w:rsidP="00D47D0E">
      <w:pPr>
        <w:pStyle w:val="ListParagraph"/>
        <w:numPr>
          <w:ilvl w:val="0"/>
          <w:numId w:val="34"/>
        </w:numPr>
        <w:spacing w:after="240" w:line="240" w:lineRule="auto"/>
        <w:contextualSpacing w:val="0"/>
        <w:rPr>
          <w:rFonts w:ascii="Arial" w:hAnsi="Arial" w:cs="Arial"/>
          <w:b/>
          <w:bCs/>
          <w:sz w:val="24"/>
          <w:szCs w:val="24"/>
        </w:rPr>
      </w:pPr>
      <w:r w:rsidRPr="00D47D0E">
        <w:rPr>
          <w:rFonts w:ascii="Arial" w:hAnsi="Arial" w:cs="Arial"/>
          <w:b/>
          <w:bCs/>
          <w:sz w:val="24"/>
          <w:szCs w:val="24"/>
        </w:rPr>
        <w:t>How do the Mental Health Utilization Standards and Methodology address situations such as delays in clinical encounter reporting, or a change in provider group during the measurement year?</w:t>
      </w:r>
    </w:p>
    <w:p w14:paraId="1D67E5D6" w14:textId="4A5781D6" w:rsidR="007D56A8" w:rsidRPr="00D47D0E" w:rsidRDefault="007D56A8" w:rsidP="00D47D0E">
      <w:pPr>
        <w:pStyle w:val="ListParagraph"/>
        <w:spacing w:after="240" w:line="240" w:lineRule="auto"/>
        <w:ind w:left="1080"/>
        <w:contextualSpacing w:val="0"/>
        <w:rPr>
          <w:rFonts w:ascii="Arial" w:hAnsi="Arial" w:cs="Arial"/>
          <w:sz w:val="24"/>
          <w:szCs w:val="24"/>
        </w:rPr>
      </w:pPr>
      <w:r w:rsidRPr="00D47D0E">
        <w:rPr>
          <w:rFonts w:ascii="Arial" w:hAnsi="Arial" w:cs="Arial"/>
          <w:sz w:val="24"/>
          <w:szCs w:val="24"/>
        </w:rPr>
        <w:t>The definition of "clinical data capture timeframe" in the Annual Network Reporting instructions accounts for delays in clinical encounter reporting. The Definitions section of the Annual Network Submission Instruction Manual defines the clinical data capture timeframe for the purposes of reporting clinical encounters to the D</w:t>
      </w:r>
      <w:r w:rsidR="00047C42" w:rsidRPr="00D47D0E">
        <w:rPr>
          <w:rFonts w:ascii="Arial" w:hAnsi="Arial" w:cs="Arial"/>
          <w:sz w:val="24"/>
          <w:szCs w:val="24"/>
        </w:rPr>
        <w:t>MHC</w:t>
      </w:r>
      <w:r w:rsidRPr="00D47D0E">
        <w:rPr>
          <w:rFonts w:ascii="Arial" w:hAnsi="Arial" w:cs="Arial"/>
          <w:sz w:val="24"/>
          <w:szCs w:val="24"/>
        </w:rPr>
        <w:t>. The clinical data capture timeframe includes clinical encounters that were reported to, or collected by, the health plan during the timely access compliance measurement year, regardless of the date of service of the specific encounter.</w:t>
      </w:r>
    </w:p>
    <w:p w14:paraId="08195ED2" w14:textId="295BA3AB" w:rsidR="006E2D6C" w:rsidRPr="00D47D0E" w:rsidRDefault="00DA4330" w:rsidP="00D47D0E">
      <w:pPr>
        <w:pStyle w:val="ListParagraph"/>
        <w:spacing w:after="240" w:line="240" w:lineRule="auto"/>
        <w:ind w:left="1080"/>
        <w:contextualSpacing w:val="0"/>
        <w:rPr>
          <w:rFonts w:ascii="Arial" w:hAnsi="Arial" w:cs="Arial"/>
          <w:sz w:val="24"/>
          <w:szCs w:val="24"/>
        </w:rPr>
      </w:pPr>
      <w:r w:rsidRPr="00D47D0E">
        <w:rPr>
          <w:rFonts w:ascii="Arial" w:hAnsi="Arial" w:cs="Arial"/>
          <w:sz w:val="24"/>
          <w:szCs w:val="24"/>
        </w:rPr>
        <w:t>If a plan has a</w:t>
      </w:r>
      <w:r w:rsidR="007D56A8" w:rsidRPr="00D47D0E">
        <w:rPr>
          <w:rFonts w:ascii="Arial" w:hAnsi="Arial" w:cs="Arial"/>
          <w:sz w:val="24"/>
          <w:szCs w:val="24"/>
        </w:rPr>
        <w:t xml:space="preserve"> change in provider groups during the measurement year</w:t>
      </w:r>
      <w:r w:rsidRPr="00D47D0E">
        <w:rPr>
          <w:rFonts w:ascii="Arial" w:hAnsi="Arial" w:cs="Arial"/>
          <w:sz w:val="24"/>
          <w:szCs w:val="24"/>
        </w:rPr>
        <w:t>, this</w:t>
      </w:r>
      <w:r w:rsidR="007D56A8" w:rsidRPr="00D47D0E">
        <w:rPr>
          <w:rFonts w:ascii="Arial" w:hAnsi="Arial" w:cs="Arial"/>
          <w:sz w:val="24"/>
          <w:szCs w:val="24"/>
        </w:rPr>
        <w:t xml:space="preserve"> is captured through the reporting of clinical encounters for past network providers, in the Past Network Provider Clinical Encounter Report Tab of the Non-Network Arrangements Report Form. The DMHC added the Past Network Provider Clinical Encounter Report Tab to help health plans demonstrate the full range of providers available to enrollees throughout the previous calendar year. Beginning in RY 2026, the Mental Health Utilization Standards and Methodology will consider past network provider clinical encounter data</w:t>
      </w:r>
      <w:r w:rsidR="00B9482F" w:rsidRPr="00D47D0E">
        <w:rPr>
          <w:rFonts w:ascii="Arial" w:hAnsi="Arial" w:cs="Arial"/>
          <w:sz w:val="24"/>
          <w:szCs w:val="24"/>
        </w:rPr>
        <w:t>. This will</w:t>
      </w:r>
      <w:r w:rsidR="007C1E4B" w:rsidRPr="00D47D0E">
        <w:rPr>
          <w:rFonts w:ascii="Arial" w:hAnsi="Arial" w:cs="Arial"/>
          <w:sz w:val="24"/>
          <w:szCs w:val="24"/>
        </w:rPr>
        <w:t xml:space="preserve"> </w:t>
      </w:r>
      <w:r w:rsidR="007D56A8" w:rsidRPr="00D47D0E">
        <w:rPr>
          <w:rFonts w:ascii="Arial" w:hAnsi="Arial" w:cs="Arial"/>
          <w:sz w:val="24"/>
          <w:szCs w:val="24"/>
        </w:rPr>
        <w:t xml:space="preserve">give health plans credit for providers </w:t>
      </w:r>
      <w:r w:rsidR="00A75EF2" w:rsidRPr="00D47D0E">
        <w:rPr>
          <w:rFonts w:ascii="Arial" w:hAnsi="Arial" w:cs="Arial"/>
          <w:sz w:val="24"/>
          <w:szCs w:val="24"/>
        </w:rPr>
        <w:t>who saw</w:t>
      </w:r>
      <w:r w:rsidR="004629A6" w:rsidRPr="00D47D0E">
        <w:rPr>
          <w:rFonts w:ascii="Arial" w:hAnsi="Arial" w:cs="Arial"/>
          <w:sz w:val="24"/>
          <w:szCs w:val="24"/>
        </w:rPr>
        <w:t xml:space="preserve"> patients </w:t>
      </w:r>
      <w:r w:rsidR="00552FED" w:rsidRPr="00D47D0E">
        <w:rPr>
          <w:rFonts w:ascii="Arial" w:hAnsi="Arial" w:cs="Arial"/>
          <w:sz w:val="24"/>
          <w:szCs w:val="24"/>
        </w:rPr>
        <w:t>i</w:t>
      </w:r>
      <w:r w:rsidR="00252C24" w:rsidRPr="00D47D0E">
        <w:rPr>
          <w:rFonts w:ascii="Arial" w:hAnsi="Arial" w:cs="Arial"/>
          <w:sz w:val="24"/>
          <w:szCs w:val="24"/>
        </w:rPr>
        <w:t xml:space="preserve">n the network </w:t>
      </w:r>
      <w:r w:rsidR="007D56A8" w:rsidRPr="00D47D0E">
        <w:rPr>
          <w:rFonts w:ascii="Arial" w:hAnsi="Arial" w:cs="Arial"/>
          <w:sz w:val="24"/>
          <w:szCs w:val="24"/>
        </w:rPr>
        <w:t xml:space="preserve">during the previous measurement year but are no longer in the network as of the network capture date for RY 2026 (January 15, 2026). The additional data may </w:t>
      </w:r>
      <w:r w:rsidR="00272C25" w:rsidRPr="00D47D0E">
        <w:rPr>
          <w:rFonts w:ascii="Arial" w:hAnsi="Arial" w:cs="Arial"/>
          <w:sz w:val="24"/>
          <w:szCs w:val="24"/>
        </w:rPr>
        <w:t xml:space="preserve">be used to demonstrate </w:t>
      </w:r>
      <w:r w:rsidR="00B52155" w:rsidRPr="00D47D0E">
        <w:rPr>
          <w:rFonts w:ascii="Arial" w:hAnsi="Arial" w:cs="Arial"/>
          <w:sz w:val="24"/>
          <w:szCs w:val="24"/>
        </w:rPr>
        <w:t>that</w:t>
      </w:r>
      <w:r w:rsidR="003C52BD" w:rsidRPr="00D47D0E">
        <w:rPr>
          <w:rFonts w:ascii="Arial" w:hAnsi="Arial" w:cs="Arial"/>
          <w:sz w:val="24"/>
          <w:szCs w:val="24"/>
        </w:rPr>
        <w:t xml:space="preserve"> </w:t>
      </w:r>
      <w:r w:rsidR="00272C25" w:rsidRPr="00D47D0E">
        <w:rPr>
          <w:rFonts w:ascii="Arial" w:hAnsi="Arial" w:cs="Arial"/>
          <w:sz w:val="24"/>
          <w:szCs w:val="24"/>
        </w:rPr>
        <w:t xml:space="preserve">at least </w:t>
      </w:r>
      <w:r w:rsidR="003C52BD" w:rsidRPr="00D47D0E">
        <w:rPr>
          <w:rFonts w:ascii="Arial" w:hAnsi="Arial" w:cs="Arial"/>
          <w:sz w:val="24"/>
          <w:szCs w:val="24"/>
        </w:rPr>
        <w:t>20% of counseling mental health network providers were seeing patients in the network</w:t>
      </w:r>
      <w:r w:rsidR="00217037" w:rsidRPr="00D47D0E">
        <w:rPr>
          <w:rFonts w:ascii="Arial" w:hAnsi="Arial" w:cs="Arial"/>
          <w:sz w:val="24"/>
          <w:szCs w:val="24"/>
        </w:rPr>
        <w:t xml:space="preserve"> during the capture timeframe</w:t>
      </w:r>
      <w:r w:rsidR="007C1E4B" w:rsidRPr="00D47D0E">
        <w:rPr>
          <w:rFonts w:ascii="Arial" w:hAnsi="Arial" w:cs="Arial"/>
          <w:sz w:val="24"/>
          <w:szCs w:val="24"/>
        </w:rPr>
        <w:t>.</w:t>
      </w:r>
    </w:p>
    <w:sectPr w:rsidR="006E2D6C" w:rsidRPr="00D47D0E" w:rsidSect="00FC6056">
      <w:headerReference w:type="default" r:id="rId12"/>
      <w:footerReference w:type="default" r:id="rId13"/>
      <w:headerReference w:type="first" r:id="rId14"/>
      <w:footerReference w:type="first" r:id="rId15"/>
      <w:type w:val="continuous"/>
      <w:pgSz w:w="12240" w:h="15840" w:code="1"/>
      <w:pgMar w:top="1440" w:right="1440" w:bottom="1397"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CF1D1" w14:textId="77777777" w:rsidR="000C70D2" w:rsidRDefault="000C70D2">
      <w:r>
        <w:separator/>
      </w:r>
    </w:p>
  </w:endnote>
  <w:endnote w:type="continuationSeparator" w:id="0">
    <w:p w14:paraId="3182A45A" w14:textId="77777777" w:rsidR="000C70D2" w:rsidRDefault="000C70D2">
      <w:r>
        <w:continuationSeparator/>
      </w:r>
    </w:p>
  </w:endnote>
  <w:endnote w:type="continuationNotice" w:id="1">
    <w:p w14:paraId="06ADEE87" w14:textId="77777777" w:rsidR="000C70D2" w:rsidRDefault="000C70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1801908371"/>
      <w:docPartObj>
        <w:docPartGallery w:val="Page Numbers (Bottom of Page)"/>
        <w:docPartUnique/>
      </w:docPartObj>
    </w:sdtPr>
    <w:sdtEndPr>
      <w:rPr>
        <w:noProof/>
      </w:rPr>
    </w:sdtEndPr>
    <w:sdtContent>
      <w:p w14:paraId="6957138A" w14:textId="28A6DBA9" w:rsidR="005949C3" w:rsidRPr="005949C3" w:rsidRDefault="005949C3">
        <w:pPr>
          <w:pStyle w:val="Footer"/>
          <w:jc w:val="center"/>
          <w:rPr>
            <w:rFonts w:ascii="Arial" w:hAnsi="Arial" w:cs="Arial"/>
            <w:sz w:val="24"/>
            <w:szCs w:val="24"/>
          </w:rPr>
        </w:pPr>
        <w:r w:rsidRPr="005949C3">
          <w:rPr>
            <w:rFonts w:ascii="Arial" w:hAnsi="Arial" w:cs="Arial"/>
            <w:sz w:val="24"/>
            <w:szCs w:val="24"/>
          </w:rPr>
          <w:fldChar w:fldCharType="begin"/>
        </w:r>
        <w:r w:rsidRPr="005949C3">
          <w:rPr>
            <w:rFonts w:ascii="Arial" w:hAnsi="Arial" w:cs="Arial"/>
            <w:sz w:val="24"/>
            <w:szCs w:val="24"/>
          </w:rPr>
          <w:instrText xml:space="preserve"> PAGE   \* MERGEFORMAT </w:instrText>
        </w:r>
        <w:r w:rsidRPr="005949C3">
          <w:rPr>
            <w:rFonts w:ascii="Arial" w:hAnsi="Arial" w:cs="Arial"/>
            <w:sz w:val="24"/>
            <w:szCs w:val="24"/>
          </w:rPr>
          <w:fldChar w:fldCharType="separate"/>
        </w:r>
        <w:r w:rsidRPr="005949C3">
          <w:rPr>
            <w:rFonts w:ascii="Arial" w:hAnsi="Arial" w:cs="Arial"/>
            <w:noProof/>
            <w:sz w:val="24"/>
            <w:szCs w:val="24"/>
          </w:rPr>
          <w:t>2</w:t>
        </w:r>
        <w:r w:rsidRPr="005949C3">
          <w:rPr>
            <w:rFonts w:ascii="Arial" w:hAnsi="Arial" w:cs="Arial"/>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AA551" w14:textId="1B29F040" w:rsidR="00417DCF" w:rsidRPr="00DC2C65" w:rsidRDefault="00417DCF" w:rsidP="00417DCF">
    <w:pPr>
      <w:pStyle w:val="Footer"/>
      <w:jc w:val="center"/>
      <w:rPr>
        <w:rFonts w:ascii="Arial" w:hAnsi="Arial" w:cs="Arial"/>
        <w:b/>
        <w:i/>
        <w:color w:val="12539F"/>
        <w:sz w:val="24"/>
      </w:rPr>
    </w:pPr>
    <w:r w:rsidRPr="00DC2C65">
      <w:rPr>
        <w:rFonts w:ascii="Arial" w:hAnsi="Arial" w:cs="Arial"/>
        <w:b/>
        <w:i/>
        <w:color w:val="12539F"/>
        <w:sz w:val="24"/>
      </w:rPr>
      <w:t xml:space="preserve">Protecting the Health Care Rights of More Than </w:t>
    </w:r>
    <w:r w:rsidR="00BC5934">
      <w:rPr>
        <w:rFonts w:ascii="Arial" w:hAnsi="Arial" w:cs="Arial"/>
        <w:b/>
        <w:i/>
        <w:color w:val="12539F"/>
        <w:sz w:val="24"/>
      </w:rPr>
      <w:t>30.2</w:t>
    </w:r>
    <w:r w:rsidRPr="00DC2C65">
      <w:rPr>
        <w:rFonts w:ascii="Arial" w:hAnsi="Arial" w:cs="Arial"/>
        <w:b/>
        <w:i/>
        <w:color w:val="12539F"/>
        <w:sz w:val="24"/>
      </w:rPr>
      <w:t xml:space="preserve"> </w:t>
    </w:r>
    <w:proofErr w:type="gramStart"/>
    <w:r w:rsidRPr="00DC2C65">
      <w:rPr>
        <w:rFonts w:ascii="Arial" w:hAnsi="Arial" w:cs="Arial"/>
        <w:b/>
        <w:i/>
        <w:color w:val="12539F"/>
        <w:sz w:val="24"/>
      </w:rPr>
      <w:t>Million</w:t>
    </w:r>
    <w:proofErr w:type="gramEnd"/>
    <w:r w:rsidRPr="00DC2C65">
      <w:rPr>
        <w:rFonts w:ascii="Arial" w:hAnsi="Arial" w:cs="Arial"/>
        <w:b/>
        <w:i/>
        <w:color w:val="12539F"/>
        <w:sz w:val="24"/>
      </w:rPr>
      <w:t xml:space="preserve"> Californians</w:t>
    </w:r>
  </w:p>
  <w:p w14:paraId="6924FB86" w14:textId="70DC720A" w:rsidR="00570F54" w:rsidRPr="00DC2C65" w:rsidRDefault="00570F54" w:rsidP="00417DCF">
    <w:pPr>
      <w:pStyle w:val="Footer"/>
      <w:jc w:val="center"/>
      <w:rPr>
        <w:rFonts w:ascii="Arial" w:hAnsi="Arial" w:cs="Arial"/>
        <w:i/>
        <w:color w:val="12539F"/>
        <w:sz w:val="24"/>
      </w:rPr>
    </w:pPr>
    <w:r w:rsidRPr="00DC2C65">
      <w:rPr>
        <w:rFonts w:ascii="Arial" w:hAnsi="Arial" w:cs="Arial"/>
        <w:i/>
        <w:color w:val="12539F"/>
        <w:sz w:val="24"/>
      </w:rPr>
      <w:t>Contact the DMHC Help Center at 1-888-466-2219 or</w:t>
    </w:r>
    <w:r w:rsidR="00544389" w:rsidRPr="00DC2C65">
      <w:rPr>
        <w:rFonts w:ascii="Arial" w:hAnsi="Arial" w:cs="Arial"/>
        <w:i/>
        <w:color w:val="12539F"/>
        <w:sz w:val="24"/>
      </w:rPr>
      <w:t xml:space="preserve"> </w:t>
    </w:r>
    <w:hyperlink r:id="rId1" w:history="1">
      <w:r w:rsidR="00110F69" w:rsidRPr="00DC2C65">
        <w:rPr>
          <w:rFonts w:ascii="Arial" w:hAnsi="Arial" w:cs="Arial"/>
          <w:iCs/>
          <w:color w:val="12539F"/>
          <w:sz w:val="24"/>
          <w:szCs w:val="24"/>
        </w:rPr>
        <w:t>www.DMHC.ca.gov</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02076" w14:textId="77777777" w:rsidR="000C70D2" w:rsidRDefault="000C70D2">
      <w:r>
        <w:separator/>
      </w:r>
    </w:p>
  </w:footnote>
  <w:footnote w:type="continuationSeparator" w:id="0">
    <w:p w14:paraId="3EAD23A1" w14:textId="77777777" w:rsidR="000C70D2" w:rsidRDefault="000C70D2">
      <w:r>
        <w:continuationSeparator/>
      </w:r>
    </w:p>
  </w:footnote>
  <w:footnote w:type="continuationNotice" w:id="1">
    <w:p w14:paraId="1982DFAA" w14:textId="77777777" w:rsidR="000C70D2" w:rsidRDefault="000C70D2"/>
  </w:footnote>
  <w:footnote w:id="2">
    <w:p w14:paraId="6A3F481C" w14:textId="77777777" w:rsidR="00716087" w:rsidRPr="00611501" w:rsidRDefault="00716087" w:rsidP="00716087">
      <w:pPr>
        <w:pStyle w:val="FootnoteText"/>
        <w:rPr>
          <w:rFonts w:ascii="Arial" w:hAnsi="Arial" w:cs="Arial"/>
          <w:sz w:val="24"/>
          <w:szCs w:val="24"/>
        </w:rPr>
      </w:pPr>
      <w:r w:rsidRPr="00611501">
        <w:rPr>
          <w:rStyle w:val="FootnoteReference"/>
          <w:rFonts w:ascii="Arial" w:hAnsi="Arial" w:cs="Arial"/>
          <w:sz w:val="24"/>
          <w:szCs w:val="24"/>
        </w:rPr>
        <w:footnoteRef/>
      </w:r>
      <w:r w:rsidRPr="00611501">
        <w:rPr>
          <w:rFonts w:ascii="Arial" w:hAnsi="Arial" w:cs="Arial"/>
          <w:sz w:val="24"/>
          <w:szCs w:val="24"/>
        </w:rPr>
        <w:t xml:space="preserve"> The Knox-Keene Act is set forth in California Health and Safety Code sections 1340 set seq. References to “Section” are to sections of the Knox-Keene Act. References to “Rule” refer to the California Code of Regulations, title 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9CD00" w14:textId="18C0110C" w:rsidR="00EE36D6" w:rsidRPr="00D61E97" w:rsidRDefault="00EE36D6" w:rsidP="0053237E">
    <w:pPr>
      <w:tabs>
        <w:tab w:val="right" w:pos="9090"/>
      </w:tabs>
      <w:rPr>
        <w:rFonts w:ascii="Arial" w:hAnsi="Arial" w:cs="Arial"/>
        <w:sz w:val="24"/>
        <w:szCs w:val="24"/>
      </w:rPr>
    </w:pPr>
    <w:r w:rsidRPr="00E04250">
      <w:rPr>
        <w:rFonts w:ascii="Arial" w:hAnsi="Arial" w:cs="Arial"/>
        <w:sz w:val="24"/>
        <w:szCs w:val="24"/>
      </w:rPr>
      <w:t>APL 25-</w:t>
    </w:r>
    <w:r w:rsidR="006860C9">
      <w:rPr>
        <w:rFonts w:ascii="Arial" w:hAnsi="Arial" w:cs="Arial"/>
        <w:sz w:val="24"/>
        <w:szCs w:val="24"/>
      </w:rPr>
      <w:t>019</w:t>
    </w:r>
    <w:r w:rsidRPr="00D61E97">
      <w:rPr>
        <w:rFonts w:ascii="Arial" w:hAnsi="Arial" w:cs="Arial"/>
        <w:sz w:val="24"/>
        <w:szCs w:val="24"/>
      </w:rPr>
      <w:t xml:space="preserve"> </w:t>
    </w:r>
    <w:r w:rsidRPr="00D61E97">
      <w:rPr>
        <w:rFonts w:ascii="Arial" w:hAnsi="Arial" w:cs="Arial"/>
        <w:sz w:val="24"/>
        <w:szCs w:val="24"/>
      </w:rPr>
      <w:tab/>
    </w:r>
    <w:r w:rsidR="00BD25A4">
      <w:rPr>
        <w:rFonts w:ascii="Arial" w:hAnsi="Arial" w:cs="Arial"/>
        <w:sz w:val="24"/>
        <w:szCs w:val="24"/>
      </w:rPr>
      <w:t xml:space="preserve">December </w:t>
    </w:r>
    <w:r w:rsidR="00BD25A4" w:rsidRPr="006860C9">
      <w:rPr>
        <w:rFonts w:ascii="Arial" w:hAnsi="Arial" w:cs="Arial"/>
        <w:sz w:val="24"/>
        <w:szCs w:val="24"/>
      </w:rPr>
      <w:t>1</w:t>
    </w:r>
    <w:r w:rsidR="00B31C5F">
      <w:rPr>
        <w:rFonts w:ascii="Arial" w:hAnsi="Arial" w:cs="Arial"/>
        <w:sz w:val="24"/>
        <w:szCs w:val="24"/>
      </w:rPr>
      <w:t>2</w:t>
    </w:r>
    <w:r w:rsidRPr="006860C9">
      <w:rPr>
        <w:rFonts w:ascii="Arial" w:hAnsi="Arial" w:cs="Arial"/>
        <w:sz w:val="24"/>
        <w:szCs w:val="24"/>
      </w:rPr>
      <w:t>,</w:t>
    </w:r>
    <w:r w:rsidRPr="00D61E97">
      <w:rPr>
        <w:rFonts w:ascii="Arial" w:hAnsi="Arial" w:cs="Arial"/>
        <w:sz w:val="24"/>
        <w:szCs w:val="24"/>
      </w:rPr>
      <w:t xml:space="preserve"> 2025</w:t>
    </w:r>
  </w:p>
  <w:p w14:paraId="1FD860F8" w14:textId="252CC38F" w:rsidR="0053237E" w:rsidRPr="00C47A03" w:rsidRDefault="006E41CA" w:rsidP="00990164">
    <w:pPr>
      <w:tabs>
        <w:tab w:val="right" w:pos="9090"/>
      </w:tabs>
      <w:spacing w:after="480"/>
      <w:rPr>
        <w:rFonts w:ascii="Arial" w:hAnsi="Arial" w:cs="Arial"/>
        <w:sz w:val="24"/>
        <w:szCs w:val="24"/>
      </w:rPr>
    </w:pPr>
    <w:r w:rsidRPr="00D61E97">
      <w:rPr>
        <w:rFonts w:ascii="Arial" w:hAnsi="Arial" w:cs="Arial"/>
        <w:sz w:val="24"/>
        <w:szCs w:val="24"/>
      </w:rPr>
      <w:t>Frequently Asked Questions</w:t>
    </w:r>
    <w:r w:rsidRPr="00FC3D50">
      <w:rPr>
        <w:rFonts w:ascii="Arial" w:hAnsi="Arial" w:cs="Arial"/>
        <w:sz w:val="24"/>
        <w:szCs w:val="24"/>
      </w:rPr>
      <w:t xml:space="preserve"> (FAQ)</w:t>
    </w:r>
    <w:r w:rsidR="00EF1032" w:rsidRPr="002B50CC">
      <w:rPr>
        <w:rFonts w:ascii="Arial" w:hAnsi="Arial" w:cs="Arial"/>
        <w:sz w:val="24"/>
      </w:rPr>
      <w:tab/>
    </w:r>
    <w:r w:rsidR="005C5815" w:rsidRPr="00E340F2">
      <w:rPr>
        <w:rFonts w:ascii="Arial" w:hAnsi="Arial" w:cs="Arial"/>
        <w:sz w:val="24"/>
        <w:szCs w:val="24"/>
      </w:rPr>
      <w:t xml:space="preserve">Page </w:t>
    </w:r>
    <w:r w:rsidR="005C5815" w:rsidRPr="00E340F2">
      <w:rPr>
        <w:rFonts w:ascii="Arial" w:hAnsi="Arial" w:cs="Arial"/>
        <w:sz w:val="24"/>
        <w:szCs w:val="24"/>
      </w:rPr>
      <w:fldChar w:fldCharType="begin"/>
    </w:r>
    <w:r w:rsidR="005C5815" w:rsidRPr="00E340F2">
      <w:rPr>
        <w:rFonts w:ascii="Arial" w:hAnsi="Arial" w:cs="Arial"/>
        <w:sz w:val="24"/>
        <w:szCs w:val="24"/>
      </w:rPr>
      <w:instrText xml:space="preserve"> PAGE   \* MERGEFORMAT </w:instrText>
    </w:r>
    <w:r w:rsidR="005C5815" w:rsidRPr="00E340F2">
      <w:rPr>
        <w:rFonts w:ascii="Arial" w:hAnsi="Arial" w:cs="Arial"/>
        <w:sz w:val="24"/>
        <w:szCs w:val="24"/>
      </w:rPr>
      <w:fldChar w:fldCharType="separate"/>
    </w:r>
    <w:r w:rsidR="005C5815">
      <w:rPr>
        <w:rFonts w:ascii="Arial" w:hAnsi="Arial" w:cs="Arial"/>
        <w:sz w:val="24"/>
        <w:szCs w:val="24"/>
      </w:rPr>
      <w:t>2</w:t>
    </w:r>
    <w:r w:rsidR="005C5815" w:rsidRPr="00E340F2">
      <w:rPr>
        <w:rFonts w:ascii="Arial" w:hAnsi="Arial" w:cs="Arial"/>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F2EC0" w14:textId="64FBCE72" w:rsidR="008F3EBF" w:rsidRPr="00AD2CA5" w:rsidRDefault="009402B5">
    <w:pPr>
      <w:pStyle w:val="Header"/>
      <w:rPr>
        <w:rFonts w:ascii="Arial" w:hAnsi="Arial" w:cs="Arial"/>
        <w:sz w:val="24"/>
        <w:szCs w:val="24"/>
      </w:rPr>
    </w:pPr>
    <w:r w:rsidRPr="00AD2CA5">
      <w:rPr>
        <w:rFonts w:ascii="Arial" w:hAnsi="Arial" w:cs="Arial"/>
        <w:noProof/>
        <w:sz w:val="24"/>
        <w:szCs w:val="24"/>
      </w:rPr>
      <w:drawing>
        <wp:anchor distT="0" distB="0" distL="114300" distR="114300" simplePos="0" relativeHeight="251658241" behindDoc="0" locked="0" layoutInCell="1" allowOverlap="1" wp14:anchorId="17DA76D2" wp14:editId="4750C940">
          <wp:simplePos x="0" y="0"/>
          <wp:positionH relativeFrom="margin">
            <wp:posOffset>-352425</wp:posOffset>
          </wp:positionH>
          <wp:positionV relativeFrom="margin">
            <wp:posOffset>-321945</wp:posOffset>
          </wp:positionV>
          <wp:extent cx="2876550" cy="1027430"/>
          <wp:effectExtent l="0" t="0" r="0" b="0"/>
          <wp:wrapSquare wrapText="bothSides"/>
          <wp:docPr id="2125457055" name="Picture 2" descr="DMH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DMH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2CA5">
      <w:rPr>
        <w:rFonts w:ascii="Arial" w:hAnsi="Arial" w:cs="Arial"/>
        <w:noProof/>
        <w:sz w:val="24"/>
        <w:szCs w:val="24"/>
      </w:rPr>
      <mc:AlternateContent>
        <mc:Choice Requires="wps">
          <w:drawing>
            <wp:anchor distT="0" distB="0" distL="114300" distR="114300" simplePos="0" relativeHeight="251658240" behindDoc="0" locked="0" layoutInCell="1" allowOverlap="1" wp14:anchorId="330D189A" wp14:editId="256BCD74">
              <wp:simplePos x="0" y="0"/>
              <wp:positionH relativeFrom="column">
                <wp:posOffset>2734945</wp:posOffset>
              </wp:positionH>
              <wp:positionV relativeFrom="paragraph">
                <wp:posOffset>-114300</wp:posOffset>
              </wp:positionV>
              <wp:extent cx="3697605" cy="152590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7605" cy="152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59C45" w14:textId="77777777" w:rsidR="008F3EBF" w:rsidRPr="004D5EAF" w:rsidRDefault="00ED37A9" w:rsidP="008F3EBF">
                          <w:pPr>
                            <w:jc w:val="right"/>
                            <w:rPr>
                              <w:rFonts w:ascii="Arial" w:hAnsi="Arial" w:cs="Arial"/>
                              <w:color w:val="12539F"/>
                              <w:sz w:val="24"/>
                              <w:szCs w:val="16"/>
                            </w:rPr>
                          </w:pPr>
                          <w:r>
                            <w:rPr>
                              <w:rFonts w:ascii="Arial" w:hAnsi="Arial" w:cs="Arial"/>
                              <w:color w:val="12539F"/>
                              <w:sz w:val="24"/>
                              <w:szCs w:val="16"/>
                            </w:rPr>
                            <w:t>Gavin Newsom</w:t>
                          </w:r>
                          <w:r w:rsidR="008F3EBF" w:rsidRPr="004D5EAF">
                            <w:rPr>
                              <w:rFonts w:ascii="Arial" w:hAnsi="Arial" w:cs="Arial"/>
                              <w:color w:val="12539F"/>
                              <w:sz w:val="24"/>
                              <w:szCs w:val="16"/>
                            </w:rPr>
                            <w:t>, Governor</w:t>
                          </w:r>
                        </w:p>
                        <w:p w14:paraId="72F8D21D" w14:textId="77777777" w:rsidR="008F3EBF" w:rsidRPr="004D5EAF" w:rsidRDefault="008F3EBF" w:rsidP="008F3EBF">
                          <w:pPr>
                            <w:jc w:val="right"/>
                            <w:rPr>
                              <w:rFonts w:ascii="Arial" w:hAnsi="Arial" w:cs="Arial"/>
                              <w:color w:val="12539F"/>
                              <w:sz w:val="24"/>
                              <w:szCs w:val="16"/>
                            </w:rPr>
                          </w:pPr>
                          <w:r w:rsidRPr="004D5EAF">
                            <w:rPr>
                              <w:rFonts w:ascii="Arial" w:hAnsi="Arial" w:cs="Arial"/>
                              <w:color w:val="12539F"/>
                              <w:sz w:val="24"/>
                              <w:szCs w:val="16"/>
                            </w:rPr>
                            <w:t>State of California</w:t>
                          </w:r>
                        </w:p>
                        <w:p w14:paraId="4EA19493" w14:textId="77777777" w:rsidR="008F3EBF" w:rsidRPr="004D5EAF" w:rsidRDefault="008F3EBF" w:rsidP="008F3EBF">
                          <w:pPr>
                            <w:jc w:val="right"/>
                            <w:rPr>
                              <w:rFonts w:ascii="Arial" w:hAnsi="Arial" w:cs="Arial"/>
                              <w:color w:val="12539F"/>
                              <w:sz w:val="24"/>
                              <w:szCs w:val="16"/>
                            </w:rPr>
                          </w:pPr>
                          <w:r w:rsidRPr="004D5EAF">
                            <w:rPr>
                              <w:rFonts w:ascii="Arial" w:hAnsi="Arial" w:cs="Arial"/>
                              <w:color w:val="12539F"/>
                              <w:sz w:val="24"/>
                              <w:szCs w:val="16"/>
                            </w:rPr>
                            <w:t>Health and Human Services Agency</w:t>
                          </w:r>
                        </w:p>
                        <w:p w14:paraId="27CDB6ED" w14:textId="77777777" w:rsidR="008F3EBF" w:rsidRPr="008F3EBF" w:rsidRDefault="008F3EBF" w:rsidP="008F3EBF">
                          <w:pPr>
                            <w:jc w:val="right"/>
                            <w:rPr>
                              <w:rFonts w:ascii="Arial" w:hAnsi="Arial" w:cs="Arial"/>
                              <w:b/>
                              <w:bCs/>
                              <w:color w:val="12539F"/>
                              <w:sz w:val="24"/>
                            </w:rPr>
                          </w:pPr>
                          <w:r w:rsidRPr="008F3EBF">
                            <w:rPr>
                              <w:rFonts w:ascii="Arial" w:hAnsi="Arial" w:cs="Arial"/>
                              <w:b/>
                              <w:bCs/>
                              <w:color w:val="12539F"/>
                              <w:sz w:val="24"/>
                            </w:rPr>
                            <w:t>DEPARTMENT OF MANAGED HEALTH CARE</w:t>
                          </w:r>
                        </w:p>
                        <w:p w14:paraId="19EF6EAD" w14:textId="77777777" w:rsidR="008F3EBF" w:rsidRPr="008F3EBF" w:rsidRDefault="008F3EBF" w:rsidP="008F3EBF">
                          <w:pPr>
                            <w:jc w:val="right"/>
                            <w:rPr>
                              <w:rFonts w:ascii="Arial" w:hAnsi="Arial" w:cs="Arial"/>
                              <w:b/>
                              <w:color w:val="12539F"/>
                              <w:sz w:val="24"/>
                            </w:rPr>
                          </w:pPr>
                          <w:r w:rsidRPr="008F3EBF">
                            <w:rPr>
                              <w:rFonts w:ascii="Arial" w:hAnsi="Arial" w:cs="Arial"/>
                              <w:b/>
                              <w:color w:val="12539F"/>
                              <w:sz w:val="24"/>
                            </w:rPr>
                            <w:t>980 9</w:t>
                          </w:r>
                          <w:r w:rsidRPr="008F3EBF">
                            <w:rPr>
                              <w:rFonts w:ascii="Arial" w:hAnsi="Arial" w:cs="Arial"/>
                              <w:b/>
                              <w:color w:val="12539F"/>
                              <w:sz w:val="24"/>
                              <w:vertAlign w:val="superscript"/>
                            </w:rPr>
                            <w:t>th</w:t>
                          </w:r>
                          <w:r w:rsidRPr="008F3EBF">
                            <w:rPr>
                              <w:rFonts w:ascii="Arial" w:hAnsi="Arial" w:cs="Arial"/>
                              <w:b/>
                              <w:color w:val="12539F"/>
                              <w:sz w:val="24"/>
                            </w:rPr>
                            <w:t xml:space="preserve"> Street, Suite 500 </w:t>
                          </w:r>
                          <w:r w:rsidRPr="008F3EBF">
                            <w:rPr>
                              <w:rFonts w:ascii="Arial" w:hAnsi="Arial" w:cs="Arial"/>
                              <w:b/>
                              <w:color w:val="12539F"/>
                              <w:sz w:val="24"/>
                            </w:rPr>
                            <w:br/>
                            <w:t>Sacramento, CA 95814</w:t>
                          </w:r>
                        </w:p>
                        <w:p w14:paraId="1175AEC1" w14:textId="77777777" w:rsidR="008F3EBF" w:rsidRPr="008F3EBF" w:rsidRDefault="008F3EBF" w:rsidP="008F3EBF">
                          <w:pPr>
                            <w:jc w:val="right"/>
                            <w:rPr>
                              <w:rFonts w:ascii="Arial" w:hAnsi="Arial" w:cs="Arial"/>
                              <w:b/>
                              <w:color w:val="12539F"/>
                              <w:sz w:val="24"/>
                            </w:rPr>
                          </w:pPr>
                          <w:r w:rsidRPr="008F3EBF">
                            <w:rPr>
                              <w:rFonts w:ascii="Arial" w:hAnsi="Arial" w:cs="Arial"/>
                              <w:b/>
                              <w:color w:val="12539F"/>
                              <w:sz w:val="24"/>
                            </w:rPr>
                            <w:t>Pho</w:t>
                          </w:r>
                          <w:r w:rsidR="002C29D2">
                            <w:rPr>
                              <w:rFonts w:ascii="Arial" w:hAnsi="Arial" w:cs="Arial"/>
                              <w:b/>
                              <w:color w:val="12539F"/>
                              <w:sz w:val="24"/>
                            </w:rPr>
                            <w:t>ne: 916-</w:t>
                          </w:r>
                          <w:r w:rsidR="009F4F95">
                            <w:rPr>
                              <w:rFonts w:ascii="Arial" w:hAnsi="Arial" w:cs="Arial"/>
                              <w:b/>
                              <w:color w:val="12539F"/>
                              <w:sz w:val="24"/>
                            </w:rPr>
                            <w:t>324-8176 | Fax: 916-</w:t>
                          </w:r>
                          <w:r w:rsidRPr="008F3EBF">
                            <w:rPr>
                              <w:rFonts w:ascii="Arial" w:hAnsi="Arial" w:cs="Arial"/>
                              <w:b/>
                              <w:color w:val="12539F"/>
                              <w:sz w:val="24"/>
                            </w:rPr>
                            <w:t>255-5241</w:t>
                          </w:r>
                        </w:p>
                        <w:p w14:paraId="6ABDD5A9" w14:textId="76ABA3E9" w:rsidR="00102623" w:rsidRPr="00926960" w:rsidRDefault="00926960" w:rsidP="00BE0464">
                          <w:pPr>
                            <w:jc w:val="right"/>
                            <w:rPr>
                              <w:rFonts w:ascii="Arial" w:hAnsi="Arial" w:cs="Arial"/>
                              <w:b/>
                              <w:sz w:val="24"/>
                              <w:szCs w:val="24"/>
                            </w:rPr>
                          </w:pPr>
                          <w:hyperlink r:id="rId2">
                            <w:r w:rsidRPr="00926960">
                              <w:rPr>
                                <w:rFonts w:ascii="Arial" w:hAnsi="Arial" w:cs="Arial"/>
                                <w:b/>
                                <w:color w:val="208639"/>
                                <w:spacing w:val="-2"/>
                                <w:sz w:val="24"/>
                                <w:szCs w:val="24"/>
                              </w:rPr>
                              <w:t>www.DMHC.ca.gov</w:t>
                            </w:r>
                          </w:hyperlink>
                        </w:p>
                        <w:p w14:paraId="0FBAB367" w14:textId="06F2C7CB" w:rsidR="008F3EBF" w:rsidRDefault="008F3EBF" w:rsidP="008F3EBF">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0D189A" id="_x0000_t202" coordsize="21600,21600" o:spt="202" path="m,l,21600r21600,l21600,xe">
              <v:stroke joinstyle="miter"/>
              <v:path gradientshapeok="t" o:connecttype="rect"/>
            </v:shapetype>
            <v:shape id="Text Box 3" o:spid="_x0000_s1026" type="#_x0000_t202" style="position:absolute;margin-left:215.35pt;margin-top:-9pt;width:291.15pt;height:12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" filled="f" stroked="f">
              <v:textbox>
                <w:txbxContent>
                  <w:p w14:paraId="18759C45" w14:textId="77777777" w:rsidR="008F3EBF" w:rsidRPr="004D5EAF" w:rsidRDefault="00ED37A9" w:rsidP="008F3EBF">
                    <w:pPr>
                      <w:jc w:val="right"/>
                      <w:rPr>
                        <w:rFonts w:ascii="Arial" w:hAnsi="Arial" w:cs="Arial"/>
                        <w:color w:val="12539F"/>
                        <w:sz w:val="24"/>
                        <w:szCs w:val="16"/>
                      </w:rPr>
                    </w:pPr>
                    <w:r>
                      <w:rPr>
                        <w:rFonts w:ascii="Arial" w:hAnsi="Arial" w:cs="Arial"/>
                        <w:color w:val="12539F"/>
                        <w:sz w:val="24"/>
                        <w:szCs w:val="16"/>
                      </w:rPr>
                      <w:t>Gavin Newsom</w:t>
                    </w:r>
                    <w:r w:rsidR="008F3EBF" w:rsidRPr="004D5EAF">
                      <w:rPr>
                        <w:rFonts w:ascii="Arial" w:hAnsi="Arial" w:cs="Arial"/>
                        <w:color w:val="12539F"/>
                        <w:sz w:val="24"/>
                        <w:szCs w:val="16"/>
                      </w:rPr>
                      <w:t>, Governor</w:t>
                    </w:r>
                  </w:p>
                  <w:p w14:paraId="72F8D21D" w14:textId="77777777" w:rsidR="008F3EBF" w:rsidRPr="004D5EAF" w:rsidRDefault="008F3EBF" w:rsidP="008F3EBF">
                    <w:pPr>
                      <w:jc w:val="right"/>
                      <w:rPr>
                        <w:rFonts w:ascii="Arial" w:hAnsi="Arial" w:cs="Arial"/>
                        <w:color w:val="12539F"/>
                        <w:sz w:val="24"/>
                        <w:szCs w:val="16"/>
                      </w:rPr>
                    </w:pPr>
                    <w:r w:rsidRPr="004D5EAF">
                      <w:rPr>
                        <w:rFonts w:ascii="Arial" w:hAnsi="Arial" w:cs="Arial"/>
                        <w:color w:val="12539F"/>
                        <w:sz w:val="24"/>
                        <w:szCs w:val="16"/>
                      </w:rPr>
                      <w:t>State of California</w:t>
                    </w:r>
                  </w:p>
                  <w:p w14:paraId="4EA19493" w14:textId="77777777" w:rsidR="008F3EBF" w:rsidRPr="004D5EAF" w:rsidRDefault="008F3EBF" w:rsidP="008F3EBF">
                    <w:pPr>
                      <w:jc w:val="right"/>
                      <w:rPr>
                        <w:rFonts w:ascii="Arial" w:hAnsi="Arial" w:cs="Arial"/>
                        <w:color w:val="12539F"/>
                        <w:sz w:val="24"/>
                        <w:szCs w:val="16"/>
                      </w:rPr>
                    </w:pPr>
                    <w:r w:rsidRPr="004D5EAF">
                      <w:rPr>
                        <w:rFonts w:ascii="Arial" w:hAnsi="Arial" w:cs="Arial"/>
                        <w:color w:val="12539F"/>
                        <w:sz w:val="24"/>
                        <w:szCs w:val="16"/>
                      </w:rPr>
                      <w:t>Health and Human Services Agency</w:t>
                    </w:r>
                  </w:p>
                  <w:p w14:paraId="27CDB6ED" w14:textId="77777777" w:rsidR="008F3EBF" w:rsidRPr="008F3EBF" w:rsidRDefault="008F3EBF" w:rsidP="008F3EBF">
                    <w:pPr>
                      <w:jc w:val="right"/>
                      <w:rPr>
                        <w:rFonts w:ascii="Arial" w:hAnsi="Arial" w:cs="Arial"/>
                        <w:b/>
                        <w:bCs/>
                        <w:color w:val="12539F"/>
                        <w:sz w:val="24"/>
                      </w:rPr>
                    </w:pPr>
                    <w:r w:rsidRPr="008F3EBF">
                      <w:rPr>
                        <w:rFonts w:ascii="Arial" w:hAnsi="Arial" w:cs="Arial"/>
                        <w:b/>
                        <w:bCs/>
                        <w:color w:val="12539F"/>
                        <w:sz w:val="24"/>
                      </w:rPr>
                      <w:t>DEPARTMENT OF MANAGED HEALTH CARE</w:t>
                    </w:r>
                  </w:p>
                  <w:p w14:paraId="19EF6EAD" w14:textId="77777777" w:rsidR="008F3EBF" w:rsidRPr="008F3EBF" w:rsidRDefault="008F3EBF" w:rsidP="008F3EBF">
                    <w:pPr>
                      <w:jc w:val="right"/>
                      <w:rPr>
                        <w:rFonts w:ascii="Arial" w:hAnsi="Arial" w:cs="Arial"/>
                        <w:b/>
                        <w:color w:val="12539F"/>
                        <w:sz w:val="24"/>
                      </w:rPr>
                    </w:pPr>
                    <w:r w:rsidRPr="008F3EBF">
                      <w:rPr>
                        <w:rFonts w:ascii="Arial" w:hAnsi="Arial" w:cs="Arial"/>
                        <w:b/>
                        <w:color w:val="12539F"/>
                        <w:sz w:val="24"/>
                      </w:rPr>
                      <w:t>980 9</w:t>
                    </w:r>
                    <w:r w:rsidRPr="008F3EBF">
                      <w:rPr>
                        <w:rFonts w:ascii="Arial" w:hAnsi="Arial" w:cs="Arial"/>
                        <w:b/>
                        <w:color w:val="12539F"/>
                        <w:sz w:val="24"/>
                        <w:vertAlign w:val="superscript"/>
                      </w:rPr>
                      <w:t>th</w:t>
                    </w:r>
                    <w:r w:rsidRPr="008F3EBF">
                      <w:rPr>
                        <w:rFonts w:ascii="Arial" w:hAnsi="Arial" w:cs="Arial"/>
                        <w:b/>
                        <w:color w:val="12539F"/>
                        <w:sz w:val="24"/>
                      </w:rPr>
                      <w:t xml:space="preserve"> Street, Suite 500 </w:t>
                    </w:r>
                    <w:r w:rsidRPr="008F3EBF">
                      <w:rPr>
                        <w:rFonts w:ascii="Arial" w:hAnsi="Arial" w:cs="Arial"/>
                        <w:b/>
                        <w:color w:val="12539F"/>
                        <w:sz w:val="24"/>
                      </w:rPr>
                      <w:br/>
                      <w:t>Sacramento, CA 95814</w:t>
                    </w:r>
                  </w:p>
                  <w:p w14:paraId="1175AEC1" w14:textId="77777777" w:rsidR="008F3EBF" w:rsidRPr="008F3EBF" w:rsidRDefault="008F3EBF" w:rsidP="008F3EBF">
                    <w:pPr>
                      <w:jc w:val="right"/>
                      <w:rPr>
                        <w:rFonts w:ascii="Arial" w:hAnsi="Arial" w:cs="Arial"/>
                        <w:b/>
                        <w:color w:val="12539F"/>
                        <w:sz w:val="24"/>
                      </w:rPr>
                    </w:pPr>
                    <w:r w:rsidRPr="008F3EBF">
                      <w:rPr>
                        <w:rFonts w:ascii="Arial" w:hAnsi="Arial" w:cs="Arial"/>
                        <w:b/>
                        <w:color w:val="12539F"/>
                        <w:sz w:val="24"/>
                      </w:rPr>
                      <w:t>Pho</w:t>
                    </w:r>
                    <w:r w:rsidR="002C29D2">
                      <w:rPr>
                        <w:rFonts w:ascii="Arial" w:hAnsi="Arial" w:cs="Arial"/>
                        <w:b/>
                        <w:color w:val="12539F"/>
                        <w:sz w:val="24"/>
                      </w:rPr>
                      <w:t>ne: 916-</w:t>
                    </w:r>
                    <w:r w:rsidR="009F4F95">
                      <w:rPr>
                        <w:rFonts w:ascii="Arial" w:hAnsi="Arial" w:cs="Arial"/>
                        <w:b/>
                        <w:color w:val="12539F"/>
                        <w:sz w:val="24"/>
                      </w:rPr>
                      <w:t>324-8176 | Fax: 916-</w:t>
                    </w:r>
                    <w:r w:rsidRPr="008F3EBF">
                      <w:rPr>
                        <w:rFonts w:ascii="Arial" w:hAnsi="Arial" w:cs="Arial"/>
                        <w:b/>
                        <w:color w:val="12539F"/>
                        <w:sz w:val="24"/>
                      </w:rPr>
                      <w:t>255-5241</w:t>
                    </w:r>
                  </w:p>
                  <w:p w14:paraId="6ABDD5A9" w14:textId="76ABA3E9" w:rsidR="00102623" w:rsidRPr="00926960" w:rsidRDefault="00926960" w:rsidP="00BE0464">
                    <w:pPr>
                      <w:jc w:val="right"/>
                      <w:rPr>
                        <w:rFonts w:ascii="Arial" w:hAnsi="Arial" w:cs="Arial"/>
                        <w:b/>
                        <w:sz w:val="24"/>
                        <w:szCs w:val="24"/>
                      </w:rPr>
                    </w:pPr>
                    <w:hyperlink r:id="rId3">
                      <w:r w:rsidRPr="00926960">
                        <w:rPr>
                          <w:rFonts w:ascii="Arial" w:hAnsi="Arial" w:cs="Arial"/>
                          <w:b/>
                          <w:color w:val="208639"/>
                          <w:spacing w:val="-2"/>
                          <w:sz w:val="24"/>
                          <w:szCs w:val="24"/>
                        </w:rPr>
                        <w:t>www.DMHC.ca.gov</w:t>
                      </w:r>
                    </w:hyperlink>
                  </w:p>
                  <w:p w14:paraId="0FBAB367" w14:textId="06F2C7CB" w:rsidR="008F3EBF" w:rsidRDefault="008F3EBF" w:rsidP="008F3EBF">
                    <w:pPr>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multilevel"/>
    <w:tmpl w:val="9D705994"/>
    <w:styleLink w:val="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AF600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14F5D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5002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6FF01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B805BE4"/>
    <w:multiLevelType w:val="hybridMultilevel"/>
    <w:tmpl w:val="4FD87088"/>
    <w:lvl w:ilvl="0" w:tplc="B0D8EC1C">
      <w:start w:val="1"/>
      <w:numFmt w:val="decimal"/>
      <w:lvlText w:val="%1."/>
      <w:lvlJc w:val="left"/>
      <w:pPr>
        <w:ind w:left="720" w:hanging="360"/>
      </w:pPr>
      <w:rPr>
        <w:b/>
        <w:bCs/>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7D63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4897809"/>
    <w:multiLevelType w:val="hybridMultilevel"/>
    <w:tmpl w:val="F8B03F06"/>
    <w:lvl w:ilvl="0" w:tplc="04090017">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6CB1102"/>
    <w:multiLevelType w:val="hybridMultilevel"/>
    <w:tmpl w:val="F3AE17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F97FEB"/>
    <w:multiLevelType w:val="hybridMultilevel"/>
    <w:tmpl w:val="79342F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B5C50A3"/>
    <w:multiLevelType w:val="hybridMultilevel"/>
    <w:tmpl w:val="8C0C235C"/>
    <w:lvl w:ilvl="0" w:tplc="DD2A427C">
      <w:start w:val="1"/>
      <w:numFmt w:val="decimal"/>
      <w:lvlText w:val="%1."/>
      <w:lvlJc w:val="left"/>
      <w:pPr>
        <w:ind w:left="1020" w:hanging="360"/>
      </w:pPr>
    </w:lvl>
    <w:lvl w:ilvl="1" w:tplc="F6107EF0">
      <w:start w:val="1"/>
      <w:numFmt w:val="decimal"/>
      <w:lvlText w:val="%2."/>
      <w:lvlJc w:val="left"/>
      <w:pPr>
        <w:ind w:left="1020" w:hanging="360"/>
      </w:pPr>
    </w:lvl>
    <w:lvl w:ilvl="2" w:tplc="4C909CB8">
      <w:start w:val="1"/>
      <w:numFmt w:val="decimal"/>
      <w:lvlText w:val="%3."/>
      <w:lvlJc w:val="left"/>
      <w:pPr>
        <w:ind w:left="1020" w:hanging="360"/>
      </w:pPr>
    </w:lvl>
    <w:lvl w:ilvl="3" w:tplc="BD4246D8">
      <w:start w:val="1"/>
      <w:numFmt w:val="decimal"/>
      <w:lvlText w:val="%4."/>
      <w:lvlJc w:val="left"/>
      <w:pPr>
        <w:ind w:left="1020" w:hanging="360"/>
      </w:pPr>
    </w:lvl>
    <w:lvl w:ilvl="4" w:tplc="55E24020">
      <w:start w:val="1"/>
      <w:numFmt w:val="decimal"/>
      <w:lvlText w:val="%5."/>
      <w:lvlJc w:val="left"/>
      <w:pPr>
        <w:ind w:left="1020" w:hanging="360"/>
      </w:pPr>
    </w:lvl>
    <w:lvl w:ilvl="5" w:tplc="87CAEF52">
      <w:start w:val="1"/>
      <w:numFmt w:val="decimal"/>
      <w:lvlText w:val="%6."/>
      <w:lvlJc w:val="left"/>
      <w:pPr>
        <w:ind w:left="1020" w:hanging="360"/>
      </w:pPr>
    </w:lvl>
    <w:lvl w:ilvl="6" w:tplc="B4F6F614">
      <w:start w:val="1"/>
      <w:numFmt w:val="decimal"/>
      <w:lvlText w:val="%7."/>
      <w:lvlJc w:val="left"/>
      <w:pPr>
        <w:ind w:left="1020" w:hanging="360"/>
      </w:pPr>
    </w:lvl>
    <w:lvl w:ilvl="7" w:tplc="20F6FC26">
      <w:start w:val="1"/>
      <w:numFmt w:val="decimal"/>
      <w:lvlText w:val="%8."/>
      <w:lvlJc w:val="left"/>
      <w:pPr>
        <w:ind w:left="1020" w:hanging="360"/>
      </w:pPr>
    </w:lvl>
    <w:lvl w:ilvl="8" w:tplc="F3940F16">
      <w:start w:val="1"/>
      <w:numFmt w:val="decimal"/>
      <w:lvlText w:val="%9."/>
      <w:lvlJc w:val="left"/>
      <w:pPr>
        <w:ind w:left="1020" w:hanging="360"/>
      </w:pPr>
    </w:lvl>
  </w:abstractNum>
  <w:abstractNum w:abstractNumId="11" w15:restartNumberingAfterBreak="0">
    <w:nsid w:val="209D52A7"/>
    <w:multiLevelType w:val="hybridMultilevel"/>
    <w:tmpl w:val="3C920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E24DF9"/>
    <w:multiLevelType w:val="hybridMultilevel"/>
    <w:tmpl w:val="33489ED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40D4738"/>
    <w:multiLevelType w:val="hybridMultilevel"/>
    <w:tmpl w:val="33489ED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D3E690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2DDC12D3"/>
    <w:multiLevelType w:val="hybridMultilevel"/>
    <w:tmpl w:val="F4AABC70"/>
    <w:lvl w:ilvl="0" w:tplc="A71695B2">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DE8578D"/>
    <w:multiLevelType w:val="hybridMultilevel"/>
    <w:tmpl w:val="C3CC1C7C"/>
    <w:lvl w:ilvl="0" w:tplc="06AA085A">
      <w:start w:val="1"/>
      <w:numFmt w:val="decimal"/>
      <w:lvlText w:val="%1."/>
      <w:lvlJc w:val="left"/>
      <w:pPr>
        <w:ind w:left="720" w:hanging="360"/>
      </w:pPr>
      <w:rPr>
        <w:b/>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F0B087B"/>
    <w:multiLevelType w:val="hybridMultilevel"/>
    <w:tmpl w:val="93D8304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4793A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8E84EAC"/>
    <w:multiLevelType w:val="hybridMultilevel"/>
    <w:tmpl w:val="CFEAD162"/>
    <w:lvl w:ilvl="0" w:tplc="2A44B62E">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BCD6D29"/>
    <w:multiLevelType w:val="hybridMultilevel"/>
    <w:tmpl w:val="F5B26D20"/>
    <w:lvl w:ilvl="0" w:tplc="CEBCA15C">
      <w:start w:val="1"/>
      <w:numFmt w:val="decimal"/>
      <w:lvlText w:val="%1."/>
      <w:lvlJc w:val="left"/>
      <w:pPr>
        <w:ind w:left="720" w:hanging="360"/>
      </w:pPr>
      <w:rPr>
        <w:rFonts w:ascii="Arial" w:hAnsi="Arial" w:cs="Arial"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B80B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2" w15:restartNumberingAfterBreak="0">
    <w:nsid w:val="442D46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5102E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ABF3E4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5" w15:restartNumberingAfterBreak="0">
    <w:nsid w:val="4B47219D"/>
    <w:multiLevelType w:val="hybridMultilevel"/>
    <w:tmpl w:val="FE06DE00"/>
    <w:lvl w:ilvl="0" w:tplc="3BB6061C">
      <w:start w:val="1"/>
      <w:numFmt w:val="decimal"/>
      <w:lvlText w:val="%1."/>
      <w:lvlJc w:val="left"/>
      <w:pPr>
        <w:ind w:left="720" w:hanging="360"/>
      </w:pPr>
      <w:rPr>
        <w:b/>
        <w:bCs/>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C5D43AB"/>
    <w:multiLevelType w:val="hybridMultilevel"/>
    <w:tmpl w:val="7B5C01FE"/>
    <w:lvl w:ilvl="0" w:tplc="5CE8B260">
      <w:start w:val="1"/>
      <w:numFmt w:val="decimal"/>
      <w:lvlText w:val="%1."/>
      <w:lvlJc w:val="left"/>
      <w:pPr>
        <w:ind w:left="720" w:hanging="360"/>
      </w:pPr>
      <w:rPr>
        <w:rFonts w:eastAsia="Times New Roma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1A7149"/>
    <w:multiLevelType w:val="hybridMultilevel"/>
    <w:tmpl w:val="1C6A8C2C"/>
    <w:lvl w:ilvl="0" w:tplc="F1805296">
      <w:start w:val="1"/>
      <w:numFmt w:val="upperRoman"/>
      <w:pStyle w:val="AccessibleHeader"/>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4622DF"/>
    <w:multiLevelType w:val="hybridMultilevel"/>
    <w:tmpl w:val="CC30E31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D52241"/>
    <w:multiLevelType w:val="hybridMultilevel"/>
    <w:tmpl w:val="10561A68"/>
    <w:lvl w:ilvl="0" w:tplc="3BD6CB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3076F7E"/>
    <w:multiLevelType w:val="hybridMultilevel"/>
    <w:tmpl w:val="33489ED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4225F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DBD5479"/>
    <w:multiLevelType w:val="singleLevel"/>
    <w:tmpl w:val="BF8846E4"/>
    <w:lvl w:ilvl="0">
      <w:start w:val="1"/>
      <w:numFmt w:val="decimal"/>
      <w:lvlText w:val="%1."/>
      <w:lvlJc w:val="left"/>
      <w:pPr>
        <w:tabs>
          <w:tab w:val="num" w:pos="720"/>
        </w:tabs>
        <w:ind w:left="720" w:hanging="720"/>
      </w:pPr>
      <w:rPr>
        <w:rFonts w:hint="default"/>
      </w:rPr>
    </w:lvl>
  </w:abstractNum>
  <w:abstractNum w:abstractNumId="33" w15:restartNumberingAfterBreak="0">
    <w:nsid w:val="654D09DD"/>
    <w:multiLevelType w:val="hybridMultilevel"/>
    <w:tmpl w:val="A2F8AC56"/>
    <w:lvl w:ilvl="0" w:tplc="13A63EFE">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56340EE"/>
    <w:multiLevelType w:val="multilevel"/>
    <w:tmpl w:val="9D705994"/>
    <w:numStyleLink w:val="LIST1"/>
  </w:abstractNum>
  <w:abstractNum w:abstractNumId="35" w15:restartNumberingAfterBreak="0">
    <w:nsid w:val="6F125AD8"/>
    <w:multiLevelType w:val="hybridMultilevel"/>
    <w:tmpl w:val="CC30E31E"/>
    <w:lvl w:ilvl="0" w:tplc="16262D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C51F74"/>
    <w:multiLevelType w:val="hybridMultilevel"/>
    <w:tmpl w:val="C08892E0"/>
    <w:lvl w:ilvl="0" w:tplc="71927C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5E5251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8" w15:restartNumberingAfterBreak="0">
    <w:nsid w:val="7E6E1C8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77971362">
    <w:abstractNumId w:val="32"/>
  </w:num>
  <w:num w:numId="2" w16cid:durableId="685206648">
    <w:abstractNumId w:val="1"/>
  </w:num>
  <w:num w:numId="3" w16cid:durableId="2091927945">
    <w:abstractNumId w:val="21"/>
  </w:num>
  <w:num w:numId="4" w16cid:durableId="1621452019">
    <w:abstractNumId w:val="14"/>
  </w:num>
  <w:num w:numId="5" w16cid:durableId="92097574">
    <w:abstractNumId w:val="37"/>
  </w:num>
  <w:num w:numId="6" w16cid:durableId="310058981">
    <w:abstractNumId w:val="24"/>
  </w:num>
  <w:num w:numId="7" w16cid:durableId="1506632694">
    <w:abstractNumId w:val="22"/>
  </w:num>
  <w:num w:numId="8" w16cid:durableId="506747604">
    <w:abstractNumId w:val="6"/>
  </w:num>
  <w:num w:numId="9" w16cid:durableId="1234387752">
    <w:abstractNumId w:val="2"/>
  </w:num>
  <w:num w:numId="10" w16cid:durableId="689256049">
    <w:abstractNumId w:val="3"/>
  </w:num>
  <w:num w:numId="11" w16cid:durableId="1517379988">
    <w:abstractNumId w:val="38"/>
  </w:num>
  <w:num w:numId="12" w16cid:durableId="757218588">
    <w:abstractNumId w:val="4"/>
  </w:num>
  <w:num w:numId="13" w16cid:durableId="497888949">
    <w:abstractNumId w:val="23"/>
  </w:num>
  <w:num w:numId="14" w16cid:durableId="529532926">
    <w:abstractNumId w:val="18"/>
  </w:num>
  <w:num w:numId="15" w16cid:durableId="1378434975">
    <w:abstractNumId w:val="31"/>
  </w:num>
  <w:num w:numId="16" w16cid:durableId="1858613587">
    <w:abstractNumId w:val="27"/>
  </w:num>
  <w:num w:numId="17" w16cid:durableId="1865358338">
    <w:abstractNumId w:val="35"/>
  </w:num>
  <w:num w:numId="18" w16cid:durableId="661930910">
    <w:abstractNumId w:val="17"/>
  </w:num>
  <w:num w:numId="19" w16cid:durableId="875433382">
    <w:abstractNumId w:val="28"/>
  </w:num>
  <w:num w:numId="20" w16cid:durableId="1278100667">
    <w:abstractNumId w:val="9"/>
  </w:num>
  <w:num w:numId="21" w16cid:durableId="194781866">
    <w:abstractNumId w:val="5"/>
  </w:num>
  <w:num w:numId="22" w16cid:durableId="192503392">
    <w:abstractNumId w:val="33"/>
  </w:num>
  <w:num w:numId="23" w16cid:durableId="1705054704">
    <w:abstractNumId w:val="11"/>
  </w:num>
  <w:num w:numId="24" w16cid:durableId="1343438707">
    <w:abstractNumId w:val="0"/>
  </w:num>
  <w:num w:numId="25" w16cid:durableId="1868642370">
    <w:abstractNumId w:val="34"/>
  </w:num>
  <w:num w:numId="26" w16cid:durableId="53429773">
    <w:abstractNumId w:val="16"/>
  </w:num>
  <w:num w:numId="27" w16cid:durableId="1983535029">
    <w:abstractNumId w:val="27"/>
  </w:num>
  <w:num w:numId="28" w16cid:durableId="1285968088">
    <w:abstractNumId w:val="25"/>
  </w:num>
  <w:num w:numId="29" w16cid:durableId="486828502">
    <w:abstractNumId w:val="27"/>
  </w:num>
  <w:num w:numId="30" w16cid:durableId="6180266">
    <w:abstractNumId w:val="27"/>
  </w:num>
  <w:num w:numId="31" w16cid:durableId="262886355">
    <w:abstractNumId w:val="30"/>
  </w:num>
  <w:num w:numId="32" w16cid:durableId="1041398733">
    <w:abstractNumId w:val="26"/>
  </w:num>
  <w:num w:numId="33" w16cid:durableId="1953895044">
    <w:abstractNumId w:val="13"/>
  </w:num>
  <w:num w:numId="34" w16cid:durableId="1512523251">
    <w:abstractNumId w:val="15"/>
  </w:num>
  <w:num w:numId="35" w16cid:durableId="169757735">
    <w:abstractNumId w:val="12"/>
  </w:num>
  <w:num w:numId="36" w16cid:durableId="1666858376">
    <w:abstractNumId w:val="20"/>
  </w:num>
  <w:num w:numId="37" w16cid:durableId="1920017573">
    <w:abstractNumId w:val="19"/>
  </w:num>
  <w:num w:numId="38" w16cid:durableId="462384762">
    <w:abstractNumId w:val="7"/>
  </w:num>
  <w:num w:numId="39" w16cid:durableId="1894735662">
    <w:abstractNumId w:val="36"/>
  </w:num>
  <w:num w:numId="40" w16cid:durableId="1006715545">
    <w:abstractNumId w:val="8"/>
  </w:num>
  <w:num w:numId="41" w16cid:durableId="1866288070">
    <w:abstractNumId w:val="29"/>
  </w:num>
  <w:num w:numId="42" w16cid:durableId="813360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1BDbPjQ7BTS+ZB37nIUne6Lv06NKztO+cDvR600cOynnC7nC/YcA6ZhoK8SJzxgdennY1lyLX615qmIaCP4Igw==" w:salt="3VmVOPi6zKw9PIMW6Rdo8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F0D"/>
    <w:rsid w:val="00000D10"/>
    <w:rsid w:val="0000229A"/>
    <w:rsid w:val="0000244E"/>
    <w:rsid w:val="00003358"/>
    <w:rsid w:val="000042BE"/>
    <w:rsid w:val="00004486"/>
    <w:rsid w:val="00004BF7"/>
    <w:rsid w:val="00006933"/>
    <w:rsid w:val="00010874"/>
    <w:rsid w:val="00010879"/>
    <w:rsid w:val="00011BDE"/>
    <w:rsid w:val="00012C0E"/>
    <w:rsid w:val="00012C20"/>
    <w:rsid w:val="00014589"/>
    <w:rsid w:val="00014815"/>
    <w:rsid w:val="000148BE"/>
    <w:rsid w:val="00015E68"/>
    <w:rsid w:val="00016D54"/>
    <w:rsid w:val="00017561"/>
    <w:rsid w:val="00020571"/>
    <w:rsid w:val="000208BC"/>
    <w:rsid w:val="000222B6"/>
    <w:rsid w:val="00023DE7"/>
    <w:rsid w:val="00025499"/>
    <w:rsid w:val="00025B59"/>
    <w:rsid w:val="00026502"/>
    <w:rsid w:val="00026C44"/>
    <w:rsid w:val="00027A70"/>
    <w:rsid w:val="0003133F"/>
    <w:rsid w:val="000341F4"/>
    <w:rsid w:val="00034551"/>
    <w:rsid w:val="00035E6B"/>
    <w:rsid w:val="00035F65"/>
    <w:rsid w:val="000379D6"/>
    <w:rsid w:val="0004024F"/>
    <w:rsid w:val="00040EAF"/>
    <w:rsid w:val="0004183B"/>
    <w:rsid w:val="00041FA7"/>
    <w:rsid w:val="00042CAD"/>
    <w:rsid w:val="00043195"/>
    <w:rsid w:val="0004375C"/>
    <w:rsid w:val="00046AE0"/>
    <w:rsid w:val="00046B63"/>
    <w:rsid w:val="00047C42"/>
    <w:rsid w:val="0005058B"/>
    <w:rsid w:val="0005172D"/>
    <w:rsid w:val="00051EC2"/>
    <w:rsid w:val="00052D7A"/>
    <w:rsid w:val="00054290"/>
    <w:rsid w:val="00055054"/>
    <w:rsid w:val="000550A4"/>
    <w:rsid w:val="000560F7"/>
    <w:rsid w:val="00056B83"/>
    <w:rsid w:val="00057308"/>
    <w:rsid w:val="0005746D"/>
    <w:rsid w:val="00061479"/>
    <w:rsid w:val="00061FAE"/>
    <w:rsid w:val="00064A98"/>
    <w:rsid w:val="0006511D"/>
    <w:rsid w:val="00067C07"/>
    <w:rsid w:val="0007025C"/>
    <w:rsid w:val="000710AE"/>
    <w:rsid w:val="00072B3D"/>
    <w:rsid w:val="00073754"/>
    <w:rsid w:val="00073BAD"/>
    <w:rsid w:val="0007663E"/>
    <w:rsid w:val="00076816"/>
    <w:rsid w:val="000842E9"/>
    <w:rsid w:val="00086805"/>
    <w:rsid w:val="0008712A"/>
    <w:rsid w:val="000873AB"/>
    <w:rsid w:val="00092182"/>
    <w:rsid w:val="000923B8"/>
    <w:rsid w:val="000929F3"/>
    <w:rsid w:val="00093694"/>
    <w:rsid w:val="000939B7"/>
    <w:rsid w:val="0009454B"/>
    <w:rsid w:val="00097D1B"/>
    <w:rsid w:val="000A184C"/>
    <w:rsid w:val="000A2F06"/>
    <w:rsid w:val="000A309F"/>
    <w:rsid w:val="000A3113"/>
    <w:rsid w:val="000A3D30"/>
    <w:rsid w:val="000A4ACF"/>
    <w:rsid w:val="000A6302"/>
    <w:rsid w:val="000A732A"/>
    <w:rsid w:val="000A7433"/>
    <w:rsid w:val="000A7EFA"/>
    <w:rsid w:val="000A7F90"/>
    <w:rsid w:val="000B0027"/>
    <w:rsid w:val="000B23CE"/>
    <w:rsid w:val="000B4D9D"/>
    <w:rsid w:val="000B54C8"/>
    <w:rsid w:val="000B6F67"/>
    <w:rsid w:val="000B733E"/>
    <w:rsid w:val="000C07F6"/>
    <w:rsid w:val="000C0C62"/>
    <w:rsid w:val="000C3FAF"/>
    <w:rsid w:val="000C553A"/>
    <w:rsid w:val="000C5AE6"/>
    <w:rsid w:val="000C5B25"/>
    <w:rsid w:val="000C6448"/>
    <w:rsid w:val="000C69B0"/>
    <w:rsid w:val="000C6C42"/>
    <w:rsid w:val="000C70D2"/>
    <w:rsid w:val="000C764A"/>
    <w:rsid w:val="000C7802"/>
    <w:rsid w:val="000C7C24"/>
    <w:rsid w:val="000D0A15"/>
    <w:rsid w:val="000D1D85"/>
    <w:rsid w:val="000D23B2"/>
    <w:rsid w:val="000D2970"/>
    <w:rsid w:val="000D3CE2"/>
    <w:rsid w:val="000D5286"/>
    <w:rsid w:val="000D603D"/>
    <w:rsid w:val="000D6218"/>
    <w:rsid w:val="000D6805"/>
    <w:rsid w:val="000D6DAE"/>
    <w:rsid w:val="000D792E"/>
    <w:rsid w:val="000E16C1"/>
    <w:rsid w:val="000E2809"/>
    <w:rsid w:val="000E3280"/>
    <w:rsid w:val="000E3C85"/>
    <w:rsid w:val="000E3D64"/>
    <w:rsid w:val="000E4059"/>
    <w:rsid w:val="000E5996"/>
    <w:rsid w:val="000E5C25"/>
    <w:rsid w:val="000E7E31"/>
    <w:rsid w:val="000E7ED9"/>
    <w:rsid w:val="000F158B"/>
    <w:rsid w:val="000F3501"/>
    <w:rsid w:val="000F3FC3"/>
    <w:rsid w:val="000F4E6D"/>
    <w:rsid w:val="000F4FF0"/>
    <w:rsid w:val="000F5E3E"/>
    <w:rsid w:val="000F76D6"/>
    <w:rsid w:val="001007B1"/>
    <w:rsid w:val="00101636"/>
    <w:rsid w:val="00102623"/>
    <w:rsid w:val="00103D59"/>
    <w:rsid w:val="00104C52"/>
    <w:rsid w:val="00105A3D"/>
    <w:rsid w:val="00106457"/>
    <w:rsid w:val="0010777F"/>
    <w:rsid w:val="00107AAB"/>
    <w:rsid w:val="00110F69"/>
    <w:rsid w:val="00112FB9"/>
    <w:rsid w:val="001131D0"/>
    <w:rsid w:val="00113C8D"/>
    <w:rsid w:val="00114F77"/>
    <w:rsid w:val="001153DA"/>
    <w:rsid w:val="00116370"/>
    <w:rsid w:val="001164EB"/>
    <w:rsid w:val="00116632"/>
    <w:rsid w:val="001177A4"/>
    <w:rsid w:val="00120D18"/>
    <w:rsid w:val="00122486"/>
    <w:rsid w:val="00122D1C"/>
    <w:rsid w:val="00123A9B"/>
    <w:rsid w:val="00125266"/>
    <w:rsid w:val="001261D9"/>
    <w:rsid w:val="001261EC"/>
    <w:rsid w:val="00126576"/>
    <w:rsid w:val="001267BE"/>
    <w:rsid w:val="00126F6D"/>
    <w:rsid w:val="00127669"/>
    <w:rsid w:val="00127DF7"/>
    <w:rsid w:val="00127EFF"/>
    <w:rsid w:val="00130B14"/>
    <w:rsid w:val="0013105A"/>
    <w:rsid w:val="001363BC"/>
    <w:rsid w:val="001365A1"/>
    <w:rsid w:val="001378D1"/>
    <w:rsid w:val="00137CC8"/>
    <w:rsid w:val="00140B39"/>
    <w:rsid w:val="0014240A"/>
    <w:rsid w:val="00142E52"/>
    <w:rsid w:val="001431CF"/>
    <w:rsid w:val="00143636"/>
    <w:rsid w:val="00144BB2"/>
    <w:rsid w:val="00145CED"/>
    <w:rsid w:val="00147420"/>
    <w:rsid w:val="001476FA"/>
    <w:rsid w:val="001512DA"/>
    <w:rsid w:val="00152A4E"/>
    <w:rsid w:val="001542E9"/>
    <w:rsid w:val="00154D7E"/>
    <w:rsid w:val="001554C1"/>
    <w:rsid w:val="001555F6"/>
    <w:rsid w:val="00155658"/>
    <w:rsid w:val="0015565F"/>
    <w:rsid w:val="0015730B"/>
    <w:rsid w:val="00157495"/>
    <w:rsid w:val="00164D35"/>
    <w:rsid w:val="00167564"/>
    <w:rsid w:val="00170CE2"/>
    <w:rsid w:val="0017123F"/>
    <w:rsid w:val="001720B8"/>
    <w:rsid w:val="001728DD"/>
    <w:rsid w:val="00173C50"/>
    <w:rsid w:val="00174B78"/>
    <w:rsid w:val="00174BF4"/>
    <w:rsid w:val="00175B87"/>
    <w:rsid w:val="0017719E"/>
    <w:rsid w:val="001773EE"/>
    <w:rsid w:val="00177B87"/>
    <w:rsid w:val="00180F51"/>
    <w:rsid w:val="00181A3A"/>
    <w:rsid w:val="00181ABE"/>
    <w:rsid w:val="00182A05"/>
    <w:rsid w:val="001834E5"/>
    <w:rsid w:val="00184EEA"/>
    <w:rsid w:val="00184FD1"/>
    <w:rsid w:val="001861AD"/>
    <w:rsid w:val="0018635B"/>
    <w:rsid w:val="00186C0E"/>
    <w:rsid w:val="00187200"/>
    <w:rsid w:val="0018771C"/>
    <w:rsid w:val="001908D0"/>
    <w:rsid w:val="00193CEB"/>
    <w:rsid w:val="00193F89"/>
    <w:rsid w:val="00195752"/>
    <w:rsid w:val="001976B5"/>
    <w:rsid w:val="001A1140"/>
    <w:rsid w:val="001A1A49"/>
    <w:rsid w:val="001A2AC4"/>
    <w:rsid w:val="001A3C61"/>
    <w:rsid w:val="001A3F70"/>
    <w:rsid w:val="001A4941"/>
    <w:rsid w:val="001A55D8"/>
    <w:rsid w:val="001A647C"/>
    <w:rsid w:val="001A6AD7"/>
    <w:rsid w:val="001A7496"/>
    <w:rsid w:val="001B10DB"/>
    <w:rsid w:val="001B2843"/>
    <w:rsid w:val="001B5F8A"/>
    <w:rsid w:val="001B6734"/>
    <w:rsid w:val="001B7B9D"/>
    <w:rsid w:val="001C0218"/>
    <w:rsid w:val="001C0346"/>
    <w:rsid w:val="001C09C6"/>
    <w:rsid w:val="001C1555"/>
    <w:rsid w:val="001C4227"/>
    <w:rsid w:val="001C54D1"/>
    <w:rsid w:val="001C56EA"/>
    <w:rsid w:val="001C582B"/>
    <w:rsid w:val="001C6E87"/>
    <w:rsid w:val="001C71C0"/>
    <w:rsid w:val="001C72CC"/>
    <w:rsid w:val="001D0310"/>
    <w:rsid w:val="001D36C2"/>
    <w:rsid w:val="001D3B01"/>
    <w:rsid w:val="001D5B18"/>
    <w:rsid w:val="001D612C"/>
    <w:rsid w:val="001D77F3"/>
    <w:rsid w:val="001D7B9A"/>
    <w:rsid w:val="001E10A5"/>
    <w:rsid w:val="001E2D38"/>
    <w:rsid w:val="001E3196"/>
    <w:rsid w:val="001E3CB4"/>
    <w:rsid w:val="001E3F91"/>
    <w:rsid w:val="001E408F"/>
    <w:rsid w:val="001E68EA"/>
    <w:rsid w:val="001E6F22"/>
    <w:rsid w:val="001F1842"/>
    <w:rsid w:val="001F2936"/>
    <w:rsid w:val="001F2A27"/>
    <w:rsid w:val="001F4613"/>
    <w:rsid w:val="001F5968"/>
    <w:rsid w:val="001F665E"/>
    <w:rsid w:val="001F7B72"/>
    <w:rsid w:val="002004A9"/>
    <w:rsid w:val="00202607"/>
    <w:rsid w:val="00202C1D"/>
    <w:rsid w:val="00202F23"/>
    <w:rsid w:val="0020310C"/>
    <w:rsid w:val="00204B6C"/>
    <w:rsid w:val="00205719"/>
    <w:rsid w:val="00205842"/>
    <w:rsid w:val="00205D9A"/>
    <w:rsid w:val="00207540"/>
    <w:rsid w:val="002075CE"/>
    <w:rsid w:val="00210664"/>
    <w:rsid w:val="002113CC"/>
    <w:rsid w:val="00211768"/>
    <w:rsid w:val="00211B0A"/>
    <w:rsid w:val="00211E91"/>
    <w:rsid w:val="00213A67"/>
    <w:rsid w:val="002143BF"/>
    <w:rsid w:val="00215957"/>
    <w:rsid w:val="00217037"/>
    <w:rsid w:val="0022033B"/>
    <w:rsid w:val="00220B48"/>
    <w:rsid w:val="00220BEE"/>
    <w:rsid w:val="00220BF6"/>
    <w:rsid w:val="002241E5"/>
    <w:rsid w:val="00224B97"/>
    <w:rsid w:val="002258DC"/>
    <w:rsid w:val="002305B3"/>
    <w:rsid w:val="00230ACD"/>
    <w:rsid w:val="00232124"/>
    <w:rsid w:val="002322CB"/>
    <w:rsid w:val="002328D8"/>
    <w:rsid w:val="00233454"/>
    <w:rsid w:val="00236419"/>
    <w:rsid w:val="00236474"/>
    <w:rsid w:val="002364F3"/>
    <w:rsid w:val="00237E44"/>
    <w:rsid w:val="00240426"/>
    <w:rsid w:val="00243110"/>
    <w:rsid w:val="0024345F"/>
    <w:rsid w:val="00243C15"/>
    <w:rsid w:val="00243D30"/>
    <w:rsid w:val="002467FA"/>
    <w:rsid w:val="00250A79"/>
    <w:rsid w:val="00250E6B"/>
    <w:rsid w:val="002514B0"/>
    <w:rsid w:val="00252570"/>
    <w:rsid w:val="00252C24"/>
    <w:rsid w:val="002534E9"/>
    <w:rsid w:val="00253968"/>
    <w:rsid w:val="002547FF"/>
    <w:rsid w:val="002556F7"/>
    <w:rsid w:val="0025671C"/>
    <w:rsid w:val="002619D6"/>
    <w:rsid w:val="00261E30"/>
    <w:rsid w:val="002625C3"/>
    <w:rsid w:val="002628C6"/>
    <w:rsid w:val="002629D2"/>
    <w:rsid w:val="0026445F"/>
    <w:rsid w:val="00265998"/>
    <w:rsid w:val="002661D5"/>
    <w:rsid w:val="0026668E"/>
    <w:rsid w:val="00270D38"/>
    <w:rsid w:val="00270EAC"/>
    <w:rsid w:val="00271220"/>
    <w:rsid w:val="00271994"/>
    <w:rsid w:val="00271D39"/>
    <w:rsid w:val="00271D6C"/>
    <w:rsid w:val="00272090"/>
    <w:rsid w:val="00272C25"/>
    <w:rsid w:val="002730A3"/>
    <w:rsid w:val="00274B01"/>
    <w:rsid w:val="00274BA7"/>
    <w:rsid w:val="00274E23"/>
    <w:rsid w:val="00275261"/>
    <w:rsid w:val="0027708A"/>
    <w:rsid w:val="002805FF"/>
    <w:rsid w:val="0028156A"/>
    <w:rsid w:val="00281922"/>
    <w:rsid w:val="00281BD7"/>
    <w:rsid w:val="002823E8"/>
    <w:rsid w:val="002829AF"/>
    <w:rsid w:val="002847B6"/>
    <w:rsid w:val="00285491"/>
    <w:rsid w:val="00287E84"/>
    <w:rsid w:val="002907F7"/>
    <w:rsid w:val="00290F43"/>
    <w:rsid w:val="002911DB"/>
    <w:rsid w:val="002917A0"/>
    <w:rsid w:val="00292833"/>
    <w:rsid w:val="00292E6D"/>
    <w:rsid w:val="00293758"/>
    <w:rsid w:val="00293B30"/>
    <w:rsid w:val="00294B4B"/>
    <w:rsid w:val="0029513E"/>
    <w:rsid w:val="002A0237"/>
    <w:rsid w:val="002A0741"/>
    <w:rsid w:val="002A08EB"/>
    <w:rsid w:val="002A1858"/>
    <w:rsid w:val="002A1F72"/>
    <w:rsid w:val="002A2883"/>
    <w:rsid w:val="002A2AB3"/>
    <w:rsid w:val="002A327D"/>
    <w:rsid w:val="002A36EC"/>
    <w:rsid w:val="002A45EF"/>
    <w:rsid w:val="002A488B"/>
    <w:rsid w:val="002A4BB4"/>
    <w:rsid w:val="002A5B38"/>
    <w:rsid w:val="002A6437"/>
    <w:rsid w:val="002A696C"/>
    <w:rsid w:val="002A73F8"/>
    <w:rsid w:val="002A7C3B"/>
    <w:rsid w:val="002B05F0"/>
    <w:rsid w:val="002B1028"/>
    <w:rsid w:val="002B166E"/>
    <w:rsid w:val="002B2AAA"/>
    <w:rsid w:val="002B2DAA"/>
    <w:rsid w:val="002B487B"/>
    <w:rsid w:val="002B4CF2"/>
    <w:rsid w:val="002B50CC"/>
    <w:rsid w:val="002B5321"/>
    <w:rsid w:val="002B55DE"/>
    <w:rsid w:val="002B59E2"/>
    <w:rsid w:val="002B6566"/>
    <w:rsid w:val="002B6D70"/>
    <w:rsid w:val="002B7029"/>
    <w:rsid w:val="002B75FE"/>
    <w:rsid w:val="002B7CDA"/>
    <w:rsid w:val="002C29D2"/>
    <w:rsid w:val="002C34D6"/>
    <w:rsid w:val="002C4D31"/>
    <w:rsid w:val="002C4EFD"/>
    <w:rsid w:val="002C65A1"/>
    <w:rsid w:val="002C70A1"/>
    <w:rsid w:val="002D07E7"/>
    <w:rsid w:val="002D23F7"/>
    <w:rsid w:val="002D2B2F"/>
    <w:rsid w:val="002D3FCB"/>
    <w:rsid w:val="002D55AB"/>
    <w:rsid w:val="002D6D6C"/>
    <w:rsid w:val="002D71D4"/>
    <w:rsid w:val="002D7E5A"/>
    <w:rsid w:val="002E0EB5"/>
    <w:rsid w:val="002E2F3C"/>
    <w:rsid w:val="002E3215"/>
    <w:rsid w:val="002E4624"/>
    <w:rsid w:val="002E7AD6"/>
    <w:rsid w:val="002E7F95"/>
    <w:rsid w:val="002F0096"/>
    <w:rsid w:val="002F145A"/>
    <w:rsid w:val="002F4D29"/>
    <w:rsid w:val="002F4EFE"/>
    <w:rsid w:val="002F61AF"/>
    <w:rsid w:val="00301120"/>
    <w:rsid w:val="00301AF8"/>
    <w:rsid w:val="00302E40"/>
    <w:rsid w:val="003031B6"/>
    <w:rsid w:val="00303332"/>
    <w:rsid w:val="00304301"/>
    <w:rsid w:val="0030471A"/>
    <w:rsid w:val="00307ABA"/>
    <w:rsid w:val="00310788"/>
    <w:rsid w:val="00310974"/>
    <w:rsid w:val="00310F19"/>
    <w:rsid w:val="003112F9"/>
    <w:rsid w:val="003120E8"/>
    <w:rsid w:val="00312EBA"/>
    <w:rsid w:val="00312FB9"/>
    <w:rsid w:val="00314BFB"/>
    <w:rsid w:val="00315D1A"/>
    <w:rsid w:val="00315E0D"/>
    <w:rsid w:val="003174C3"/>
    <w:rsid w:val="00317A0C"/>
    <w:rsid w:val="003202E5"/>
    <w:rsid w:val="0032052A"/>
    <w:rsid w:val="003213C0"/>
    <w:rsid w:val="00321B38"/>
    <w:rsid w:val="00322845"/>
    <w:rsid w:val="003238EE"/>
    <w:rsid w:val="00323C8D"/>
    <w:rsid w:val="003255F9"/>
    <w:rsid w:val="00326227"/>
    <w:rsid w:val="00330D02"/>
    <w:rsid w:val="0033163D"/>
    <w:rsid w:val="00331B6A"/>
    <w:rsid w:val="0033250B"/>
    <w:rsid w:val="00333160"/>
    <w:rsid w:val="003338AD"/>
    <w:rsid w:val="00333CE0"/>
    <w:rsid w:val="003341D1"/>
    <w:rsid w:val="003359DA"/>
    <w:rsid w:val="003359DE"/>
    <w:rsid w:val="00340F2D"/>
    <w:rsid w:val="00343215"/>
    <w:rsid w:val="003433C3"/>
    <w:rsid w:val="003441B9"/>
    <w:rsid w:val="003441D3"/>
    <w:rsid w:val="00345319"/>
    <w:rsid w:val="00345A60"/>
    <w:rsid w:val="00345BD4"/>
    <w:rsid w:val="00347F18"/>
    <w:rsid w:val="00350700"/>
    <w:rsid w:val="00354B86"/>
    <w:rsid w:val="00354CF3"/>
    <w:rsid w:val="003558F3"/>
    <w:rsid w:val="00356606"/>
    <w:rsid w:val="00356F2F"/>
    <w:rsid w:val="003615BE"/>
    <w:rsid w:val="00361BD5"/>
    <w:rsid w:val="00361D93"/>
    <w:rsid w:val="00362C5C"/>
    <w:rsid w:val="00362DAF"/>
    <w:rsid w:val="0036395C"/>
    <w:rsid w:val="00364661"/>
    <w:rsid w:val="00364BEC"/>
    <w:rsid w:val="00364CF5"/>
    <w:rsid w:val="00365557"/>
    <w:rsid w:val="00365BA5"/>
    <w:rsid w:val="003662CB"/>
    <w:rsid w:val="003670D0"/>
    <w:rsid w:val="0037009A"/>
    <w:rsid w:val="00370AF7"/>
    <w:rsid w:val="00371098"/>
    <w:rsid w:val="00371160"/>
    <w:rsid w:val="00373819"/>
    <w:rsid w:val="00375809"/>
    <w:rsid w:val="00375987"/>
    <w:rsid w:val="003776ED"/>
    <w:rsid w:val="00380531"/>
    <w:rsid w:val="00380B94"/>
    <w:rsid w:val="00380C32"/>
    <w:rsid w:val="00381B25"/>
    <w:rsid w:val="00383EAF"/>
    <w:rsid w:val="00384562"/>
    <w:rsid w:val="00386B63"/>
    <w:rsid w:val="00391524"/>
    <w:rsid w:val="00391ADA"/>
    <w:rsid w:val="003921BB"/>
    <w:rsid w:val="0039226C"/>
    <w:rsid w:val="00392EE8"/>
    <w:rsid w:val="00392F28"/>
    <w:rsid w:val="00395123"/>
    <w:rsid w:val="00395DD6"/>
    <w:rsid w:val="00397AAA"/>
    <w:rsid w:val="003A091B"/>
    <w:rsid w:val="003A175A"/>
    <w:rsid w:val="003A2180"/>
    <w:rsid w:val="003A3FDD"/>
    <w:rsid w:val="003A4D6E"/>
    <w:rsid w:val="003A4F22"/>
    <w:rsid w:val="003A6F55"/>
    <w:rsid w:val="003A78FF"/>
    <w:rsid w:val="003B0687"/>
    <w:rsid w:val="003B1F36"/>
    <w:rsid w:val="003B2244"/>
    <w:rsid w:val="003B2F3C"/>
    <w:rsid w:val="003B3389"/>
    <w:rsid w:val="003B49F0"/>
    <w:rsid w:val="003B4A99"/>
    <w:rsid w:val="003B4E71"/>
    <w:rsid w:val="003C08CD"/>
    <w:rsid w:val="003C0DE1"/>
    <w:rsid w:val="003C1AE3"/>
    <w:rsid w:val="003C1B98"/>
    <w:rsid w:val="003C2067"/>
    <w:rsid w:val="003C271A"/>
    <w:rsid w:val="003C4308"/>
    <w:rsid w:val="003C49AC"/>
    <w:rsid w:val="003C52BD"/>
    <w:rsid w:val="003C547D"/>
    <w:rsid w:val="003C6143"/>
    <w:rsid w:val="003C641A"/>
    <w:rsid w:val="003D02CC"/>
    <w:rsid w:val="003D1504"/>
    <w:rsid w:val="003D1512"/>
    <w:rsid w:val="003D331B"/>
    <w:rsid w:val="003D414F"/>
    <w:rsid w:val="003D4872"/>
    <w:rsid w:val="003D56A9"/>
    <w:rsid w:val="003D5BF4"/>
    <w:rsid w:val="003D6088"/>
    <w:rsid w:val="003E058B"/>
    <w:rsid w:val="003E13F7"/>
    <w:rsid w:val="003E1409"/>
    <w:rsid w:val="003E280D"/>
    <w:rsid w:val="003E2987"/>
    <w:rsid w:val="003E4DDE"/>
    <w:rsid w:val="003E529F"/>
    <w:rsid w:val="003E5F40"/>
    <w:rsid w:val="003E65CB"/>
    <w:rsid w:val="003E6704"/>
    <w:rsid w:val="003E6911"/>
    <w:rsid w:val="003E71C0"/>
    <w:rsid w:val="003F0194"/>
    <w:rsid w:val="003F1E7D"/>
    <w:rsid w:val="003F2F70"/>
    <w:rsid w:val="003F382E"/>
    <w:rsid w:val="003F4157"/>
    <w:rsid w:val="003F4DE6"/>
    <w:rsid w:val="003F5ADD"/>
    <w:rsid w:val="003F5D71"/>
    <w:rsid w:val="003F6138"/>
    <w:rsid w:val="003F75C5"/>
    <w:rsid w:val="003F7D82"/>
    <w:rsid w:val="00402A37"/>
    <w:rsid w:val="00402D7B"/>
    <w:rsid w:val="00403CB6"/>
    <w:rsid w:val="0040560A"/>
    <w:rsid w:val="00406E9D"/>
    <w:rsid w:val="004077BE"/>
    <w:rsid w:val="00407C1D"/>
    <w:rsid w:val="004103AA"/>
    <w:rsid w:val="004104E7"/>
    <w:rsid w:val="00412027"/>
    <w:rsid w:val="00412CDD"/>
    <w:rsid w:val="00413909"/>
    <w:rsid w:val="00413BBF"/>
    <w:rsid w:val="00414299"/>
    <w:rsid w:val="0041566E"/>
    <w:rsid w:val="004159C5"/>
    <w:rsid w:val="00415AD7"/>
    <w:rsid w:val="00416C98"/>
    <w:rsid w:val="00417DCF"/>
    <w:rsid w:val="004205B9"/>
    <w:rsid w:val="00420A49"/>
    <w:rsid w:val="0042165F"/>
    <w:rsid w:val="00421BEF"/>
    <w:rsid w:val="00421E0A"/>
    <w:rsid w:val="00422545"/>
    <w:rsid w:val="00423035"/>
    <w:rsid w:val="0042333E"/>
    <w:rsid w:val="004233C3"/>
    <w:rsid w:val="00423C10"/>
    <w:rsid w:val="00423D64"/>
    <w:rsid w:val="00423DD7"/>
    <w:rsid w:val="0042478E"/>
    <w:rsid w:val="004267A8"/>
    <w:rsid w:val="0042762D"/>
    <w:rsid w:val="00427648"/>
    <w:rsid w:val="00427B66"/>
    <w:rsid w:val="00427ED3"/>
    <w:rsid w:val="004321EC"/>
    <w:rsid w:val="00432C4A"/>
    <w:rsid w:val="004342E0"/>
    <w:rsid w:val="004342FF"/>
    <w:rsid w:val="004352B4"/>
    <w:rsid w:val="00435337"/>
    <w:rsid w:val="004357A9"/>
    <w:rsid w:val="00436C4F"/>
    <w:rsid w:val="00440920"/>
    <w:rsid w:val="00444407"/>
    <w:rsid w:val="004460DB"/>
    <w:rsid w:val="004462C2"/>
    <w:rsid w:val="00446501"/>
    <w:rsid w:val="004469F6"/>
    <w:rsid w:val="004470DD"/>
    <w:rsid w:val="00447191"/>
    <w:rsid w:val="00447D32"/>
    <w:rsid w:val="004518EB"/>
    <w:rsid w:val="00453678"/>
    <w:rsid w:val="004545C8"/>
    <w:rsid w:val="00454E4D"/>
    <w:rsid w:val="0045530D"/>
    <w:rsid w:val="004557CF"/>
    <w:rsid w:val="0045591B"/>
    <w:rsid w:val="00456893"/>
    <w:rsid w:val="00460B8B"/>
    <w:rsid w:val="004624C7"/>
    <w:rsid w:val="004629A6"/>
    <w:rsid w:val="004629FB"/>
    <w:rsid w:val="00464167"/>
    <w:rsid w:val="004667C2"/>
    <w:rsid w:val="0047034A"/>
    <w:rsid w:val="0047175A"/>
    <w:rsid w:val="0047342C"/>
    <w:rsid w:val="00473F5C"/>
    <w:rsid w:val="00474C73"/>
    <w:rsid w:val="00476E9C"/>
    <w:rsid w:val="004774A7"/>
    <w:rsid w:val="00477862"/>
    <w:rsid w:val="00477B0E"/>
    <w:rsid w:val="00477E7B"/>
    <w:rsid w:val="00477E8E"/>
    <w:rsid w:val="00480558"/>
    <w:rsid w:val="00481854"/>
    <w:rsid w:val="0048249D"/>
    <w:rsid w:val="004828DC"/>
    <w:rsid w:val="004837E2"/>
    <w:rsid w:val="00484CA7"/>
    <w:rsid w:val="00484D79"/>
    <w:rsid w:val="0048727D"/>
    <w:rsid w:val="0049181D"/>
    <w:rsid w:val="004925DE"/>
    <w:rsid w:val="0049345C"/>
    <w:rsid w:val="0049361D"/>
    <w:rsid w:val="004939F1"/>
    <w:rsid w:val="00493EAA"/>
    <w:rsid w:val="00494DDE"/>
    <w:rsid w:val="00495366"/>
    <w:rsid w:val="0049586E"/>
    <w:rsid w:val="00495926"/>
    <w:rsid w:val="0049658D"/>
    <w:rsid w:val="004A0B96"/>
    <w:rsid w:val="004A0E47"/>
    <w:rsid w:val="004A1C7C"/>
    <w:rsid w:val="004A3EDB"/>
    <w:rsid w:val="004A52E8"/>
    <w:rsid w:val="004A54CB"/>
    <w:rsid w:val="004A55EC"/>
    <w:rsid w:val="004A6057"/>
    <w:rsid w:val="004A7A06"/>
    <w:rsid w:val="004B0E2E"/>
    <w:rsid w:val="004B3609"/>
    <w:rsid w:val="004B3A90"/>
    <w:rsid w:val="004B4A3A"/>
    <w:rsid w:val="004B5DC5"/>
    <w:rsid w:val="004B64B3"/>
    <w:rsid w:val="004B79A0"/>
    <w:rsid w:val="004C0106"/>
    <w:rsid w:val="004C14D0"/>
    <w:rsid w:val="004C286C"/>
    <w:rsid w:val="004C57DD"/>
    <w:rsid w:val="004C6573"/>
    <w:rsid w:val="004C6EE6"/>
    <w:rsid w:val="004D1874"/>
    <w:rsid w:val="004D21E9"/>
    <w:rsid w:val="004D53AF"/>
    <w:rsid w:val="004D5EAF"/>
    <w:rsid w:val="004E04DF"/>
    <w:rsid w:val="004E0FA4"/>
    <w:rsid w:val="004E0FF4"/>
    <w:rsid w:val="004E149D"/>
    <w:rsid w:val="004E1E5B"/>
    <w:rsid w:val="004E391B"/>
    <w:rsid w:val="004E48C0"/>
    <w:rsid w:val="004E7429"/>
    <w:rsid w:val="004E7B97"/>
    <w:rsid w:val="004E7D11"/>
    <w:rsid w:val="004F09B1"/>
    <w:rsid w:val="004F19DE"/>
    <w:rsid w:val="004F1B12"/>
    <w:rsid w:val="004F1DC0"/>
    <w:rsid w:val="004F318C"/>
    <w:rsid w:val="004F46BC"/>
    <w:rsid w:val="004F4D98"/>
    <w:rsid w:val="004F4EF9"/>
    <w:rsid w:val="004F5DA2"/>
    <w:rsid w:val="004F655C"/>
    <w:rsid w:val="004F6CD8"/>
    <w:rsid w:val="004F6EC8"/>
    <w:rsid w:val="0050293C"/>
    <w:rsid w:val="00503CA1"/>
    <w:rsid w:val="00504015"/>
    <w:rsid w:val="00504773"/>
    <w:rsid w:val="00504A10"/>
    <w:rsid w:val="00507FD0"/>
    <w:rsid w:val="005117C4"/>
    <w:rsid w:val="00513446"/>
    <w:rsid w:val="00517773"/>
    <w:rsid w:val="00517C7D"/>
    <w:rsid w:val="0052149A"/>
    <w:rsid w:val="005238A8"/>
    <w:rsid w:val="00523B43"/>
    <w:rsid w:val="005250A0"/>
    <w:rsid w:val="0052552E"/>
    <w:rsid w:val="00525880"/>
    <w:rsid w:val="00526643"/>
    <w:rsid w:val="00526D4D"/>
    <w:rsid w:val="0053056C"/>
    <w:rsid w:val="0053237E"/>
    <w:rsid w:val="00532496"/>
    <w:rsid w:val="0053559A"/>
    <w:rsid w:val="00535897"/>
    <w:rsid w:val="00536041"/>
    <w:rsid w:val="00537410"/>
    <w:rsid w:val="00537816"/>
    <w:rsid w:val="005409D5"/>
    <w:rsid w:val="00540CEA"/>
    <w:rsid w:val="00541024"/>
    <w:rsid w:val="0054167C"/>
    <w:rsid w:val="0054216F"/>
    <w:rsid w:val="0054227A"/>
    <w:rsid w:val="00544389"/>
    <w:rsid w:val="00544973"/>
    <w:rsid w:val="00545273"/>
    <w:rsid w:val="005461E8"/>
    <w:rsid w:val="00546E6C"/>
    <w:rsid w:val="00551461"/>
    <w:rsid w:val="00551A6D"/>
    <w:rsid w:val="00551EB8"/>
    <w:rsid w:val="00552FED"/>
    <w:rsid w:val="00553BCE"/>
    <w:rsid w:val="005540BC"/>
    <w:rsid w:val="00555375"/>
    <w:rsid w:val="00556B16"/>
    <w:rsid w:val="005570C9"/>
    <w:rsid w:val="005576A0"/>
    <w:rsid w:val="00557CF9"/>
    <w:rsid w:val="00562E63"/>
    <w:rsid w:val="00564926"/>
    <w:rsid w:val="005656B9"/>
    <w:rsid w:val="005665BC"/>
    <w:rsid w:val="00570E52"/>
    <w:rsid w:val="00570F54"/>
    <w:rsid w:val="005711EA"/>
    <w:rsid w:val="00571350"/>
    <w:rsid w:val="005725B7"/>
    <w:rsid w:val="005729ED"/>
    <w:rsid w:val="0057311A"/>
    <w:rsid w:val="0057356C"/>
    <w:rsid w:val="0057374D"/>
    <w:rsid w:val="00573B71"/>
    <w:rsid w:val="00575804"/>
    <w:rsid w:val="00575EFB"/>
    <w:rsid w:val="00576AF8"/>
    <w:rsid w:val="00576C2C"/>
    <w:rsid w:val="00582C1A"/>
    <w:rsid w:val="005838AB"/>
    <w:rsid w:val="00583EC9"/>
    <w:rsid w:val="00585CC6"/>
    <w:rsid w:val="0058679D"/>
    <w:rsid w:val="00587914"/>
    <w:rsid w:val="0059224D"/>
    <w:rsid w:val="00592E27"/>
    <w:rsid w:val="005949C3"/>
    <w:rsid w:val="00596A89"/>
    <w:rsid w:val="00597E5B"/>
    <w:rsid w:val="005A008A"/>
    <w:rsid w:val="005A14FA"/>
    <w:rsid w:val="005A34F9"/>
    <w:rsid w:val="005A408D"/>
    <w:rsid w:val="005A48B0"/>
    <w:rsid w:val="005A5CCE"/>
    <w:rsid w:val="005A63E5"/>
    <w:rsid w:val="005A63F8"/>
    <w:rsid w:val="005A7F85"/>
    <w:rsid w:val="005B1343"/>
    <w:rsid w:val="005B28DA"/>
    <w:rsid w:val="005B3FDA"/>
    <w:rsid w:val="005B40A7"/>
    <w:rsid w:val="005B52D4"/>
    <w:rsid w:val="005B6409"/>
    <w:rsid w:val="005B6D5E"/>
    <w:rsid w:val="005B6FC8"/>
    <w:rsid w:val="005C04CC"/>
    <w:rsid w:val="005C08E5"/>
    <w:rsid w:val="005C3069"/>
    <w:rsid w:val="005C41C5"/>
    <w:rsid w:val="005C4725"/>
    <w:rsid w:val="005C5815"/>
    <w:rsid w:val="005C7B95"/>
    <w:rsid w:val="005D0800"/>
    <w:rsid w:val="005D139D"/>
    <w:rsid w:val="005D1677"/>
    <w:rsid w:val="005D2584"/>
    <w:rsid w:val="005D290B"/>
    <w:rsid w:val="005D352D"/>
    <w:rsid w:val="005D3705"/>
    <w:rsid w:val="005D40AF"/>
    <w:rsid w:val="005D4F16"/>
    <w:rsid w:val="005D63C1"/>
    <w:rsid w:val="005D7E0F"/>
    <w:rsid w:val="005E02C0"/>
    <w:rsid w:val="005E1766"/>
    <w:rsid w:val="005E4C4A"/>
    <w:rsid w:val="005E5D6A"/>
    <w:rsid w:val="005E70FA"/>
    <w:rsid w:val="005F0E16"/>
    <w:rsid w:val="005F17B1"/>
    <w:rsid w:val="005F1806"/>
    <w:rsid w:val="005F2B4E"/>
    <w:rsid w:val="005F2E7E"/>
    <w:rsid w:val="005F302A"/>
    <w:rsid w:val="005F3224"/>
    <w:rsid w:val="005F388A"/>
    <w:rsid w:val="005F3A9B"/>
    <w:rsid w:val="005F3CCF"/>
    <w:rsid w:val="005F6CBF"/>
    <w:rsid w:val="006013A6"/>
    <w:rsid w:val="00601CB4"/>
    <w:rsid w:val="00601FBE"/>
    <w:rsid w:val="00603DA9"/>
    <w:rsid w:val="00603E61"/>
    <w:rsid w:val="00603F05"/>
    <w:rsid w:val="00605972"/>
    <w:rsid w:val="00605F0D"/>
    <w:rsid w:val="006067AC"/>
    <w:rsid w:val="00606EDC"/>
    <w:rsid w:val="00607044"/>
    <w:rsid w:val="00607F87"/>
    <w:rsid w:val="0061077A"/>
    <w:rsid w:val="006110A3"/>
    <w:rsid w:val="00611501"/>
    <w:rsid w:val="00612094"/>
    <w:rsid w:val="00616BCD"/>
    <w:rsid w:val="00616D0D"/>
    <w:rsid w:val="00616DE7"/>
    <w:rsid w:val="00616ED1"/>
    <w:rsid w:val="006170B7"/>
    <w:rsid w:val="00620013"/>
    <w:rsid w:val="00621060"/>
    <w:rsid w:val="00621857"/>
    <w:rsid w:val="00624070"/>
    <w:rsid w:val="0062497C"/>
    <w:rsid w:val="00627479"/>
    <w:rsid w:val="00630960"/>
    <w:rsid w:val="00631B9C"/>
    <w:rsid w:val="006324AA"/>
    <w:rsid w:val="00633B86"/>
    <w:rsid w:val="006340F0"/>
    <w:rsid w:val="00635D52"/>
    <w:rsid w:val="00637A54"/>
    <w:rsid w:val="00637B6F"/>
    <w:rsid w:val="0064166B"/>
    <w:rsid w:val="00641D56"/>
    <w:rsid w:val="006423C9"/>
    <w:rsid w:val="00645802"/>
    <w:rsid w:val="00645FAD"/>
    <w:rsid w:val="00646223"/>
    <w:rsid w:val="006479FD"/>
    <w:rsid w:val="00647AEC"/>
    <w:rsid w:val="006514E6"/>
    <w:rsid w:val="00657024"/>
    <w:rsid w:val="00657256"/>
    <w:rsid w:val="00657A59"/>
    <w:rsid w:val="006616A3"/>
    <w:rsid w:val="00665ACD"/>
    <w:rsid w:val="00666BF3"/>
    <w:rsid w:val="0066706D"/>
    <w:rsid w:val="00670BD2"/>
    <w:rsid w:val="006715FC"/>
    <w:rsid w:val="00674360"/>
    <w:rsid w:val="00674CA2"/>
    <w:rsid w:val="00675067"/>
    <w:rsid w:val="0067584C"/>
    <w:rsid w:val="00675C6D"/>
    <w:rsid w:val="00677DAC"/>
    <w:rsid w:val="00680030"/>
    <w:rsid w:val="006806C4"/>
    <w:rsid w:val="00680C47"/>
    <w:rsid w:val="00681B4E"/>
    <w:rsid w:val="00682049"/>
    <w:rsid w:val="00682193"/>
    <w:rsid w:val="0068239C"/>
    <w:rsid w:val="00682E2E"/>
    <w:rsid w:val="00683314"/>
    <w:rsid w:val="00683DB0"/>
    <w:rsid w:val="0068425C"/>
    <w:rsid w:val="00684AA5"/>
    <w:rsid w:val="00685BA2"/>
    <w:rsid w:val="006860C9"/>
    <w:rsid w:val="0068796F"/>
    <w:rsid w:val="0069010B"/>
    <w:rsid w:val="00690E47"/>
    <w:rsid w:val="00691F67"/>
    <w:rsid w:val="006933FD"/>
    <w:rsid w:val="006939E4"/>
    <w:rsid w:val="00694981"/>
    <w:rsid w:val="00694DF5"/>
    <w:rsid w:val="006962BF"/>
    <w:rsid w:val="006965BB"/>
    <w:rsid w:val="006A1180"/>
    <w:rsid w:val="006A1EA9"/>
    <w:rsid w:val="006A29AD"/>
    <w:rsid w:val="006A39DA"/>
    <w:rsid w:val="006A4D21"/>
    <w:rsid w:val="006A5FE8"/>
    <w:rsid w:val="006A7746"/>
    <w:rsid w:val="006A7DE6"/>
    <w:rsid w:val="006A7F2B"/>
    <w:rsid w:val="006B0BEF"/>
    <w:rsid w:val="006B0E0D"/>
    <w:rsid w:val="006B14EB"/>
    <w:rsid w:val="006B3282"/>
    <w:rsid w:val="006B336B"/>
    <w:rsid w:val="006B43C4"/>
    <w:rsid w:val="006B561F"/>
    <w:rsid w:val="006B63EA"/>
    <w:rsid w:val="006B65D1"/>
    <w:rsid w:val="006C0716"/>
    <w:rsid w:val="006C0AF8"/>
    <w:rsid w:val="006C118A"/>
    <w:rsid w:val="006C1326"/>
    <w:rsid w:val="006C2DF5"/>
    <w:rsid w:val="006C32D6"/>
    <w:rsid w:val="006C3BF7"/>
    <w:rsid w:val="006C4C04"/>
    <w:rsid w:val="006C520E"/>
    <w:rsid w:val="006C745B"/>
    <w:rsid w:val="006D03CF"/>
    <w:rsid w:val="006D0482"/>
    <w:rsid w:val="006D06CA"/>
    <w:rsid w:val="006D1D8D"/>
    <w:rsid w:val="006D2EC9"/>
    <w:rsid w:val="006D37C8"/>
    <w:rsid w:val="006D3E6E"/>
    <w:rsid w:val="006D4815"/>
    <w:rsid w:val="006D6951"/>
    <w:rsid w:val="006D707A"/>
    <w:rsid w:val="006D732D"/>
    <w:rsid w:val="006D7845"/>
    <w:rsid w:val="006E15F3"/>
    <w:rsid w:val="006E2D6C"/>
    <w:rsid w:val="006E41CA"/>
    <w:rsid w:val="006E570A"/>
    <w:rsid w:val="006F3776"/>
    <w:rsid w:val="006F422B"/>
    <w:rsid w:val="006F5D9A"/>
    <w:rsid w:val="007011CC"/>
    <w:rsid w:val="00701CC9"/>
    <w:rsid w:val="007034E7"/>
    <w:rsid w:val="0070372C"/>
    <w:rsid w:val="00703764"/>
    <w:rsid w:val="0070577D"/>
    <w:rsid w:val="007072F3"/>
    <w:rsid w:val="007105EF"/>
    <w:rsid w:val="00711BCA"/>
    <w:rsid w:val="007149DC"/>
    <w:rsid w:val="00714CD1"/>
    <w:rsid w:val="00715FB9"/>
    <w:rsid w:val="00716087"/>
    <w:rsid w:val="00720550"/>
    <w:rsid w:val="00721975"/>
    <w:rsid w:val="00722492"/>
    <w:rsid w:val="0072384B"/>
    <w:rsid w:val="007241E6"/>
    <w:rsid w:val="00725984"/>
    <w:rsid w:val="00725E1B"/>
    <w:rsid w:val="007267FE"/>
    <w:rsid w:val="00727601"/>
    <w:rsid w:val="007279BF"/>
    <w:rsid w:val="00727AE6"/>
    <w:rsid w:val="00730119"/>
    <w:rsid w:val="00730232"/>
    <w:rsid w:val="007324DF"/>
    <w:rsid w:val="0073294C"/>
    <w:rsid w:val="007334CE"/>
    <w:rsid w:val="007337C5"/>
    <w:rsid w:val="00733E7C"/>
    <w:rsid w:val="00736A4D"/>
    <w:rsid w:val="0073707D"/>
    <w:rsid w:val="00737CBE"/>
    <w:rsid w:val="00740452"/>
    <w:rsid w:val="00740675"/>
    <w:rsid w:val="00741DDF"/>
    <w:rsid w:val="00743F8E"/>
    <w:rsid w:val="00744529"/>
    <w:rsid w:val="00744965"/>
    <w:rsid w:val="0074505B"/>
    <w:rsid w:val="00745AC3"/>
    <w:rsid w:val="007462A3"/>
    <w:rsid w:val="00746FDD"/>
    <w:rsid w:val="007516F0"/>
    <w:rsid w:val="007529E1"/>
    <w:rsid w:val="00753DBF"/>
    <w:rsid w:val="007545BA"/>
    <w:rsid w:val="0075582C"/>
    <w:rsid w:val="00756663"/>
    <w:rsid w:val="007569CE"/>
    <w:rsid w:val="0076035F"/>
    <w:rsid w:val="00760C0D"/>
    <w:rsid w:val="007620E1"/>
    <w:rsid w:val="00763155"/>
    <w:rsid w:val="00764E45"/>
    <w:rsid w:val="007664E7"/>
    <w:rsid w:val="007674F0"/>
    <w:rsid w:val="00770CCA"/>
    <w:rsid w:val="0077186F"/>
    <w:rsid w:val="007722BA"/>
    <w:rsid w:val="007727C4"/>
    <w:rsid w:val="00772D69"/>
    <w:rsid w:val="00773290"/>
    <w:rsid w:val="007733DA"/>
    <w:rsid w:val="00773BC4"/>
    <w:rsid w:val="007764CE"/>
    <w:rsid w:val="00776E69"/>
    <w:rsid w:val="00777D44"/>
    <w:rsid w:val="007800F8"/>
    <w:rsid w:val="00780E4C"/>
    <w:rsid w:val="00781BDB"/>
    <w:rsid w:val="00781BE3"/>
    <w:rsid w:val="00782DEA"/>
    <w:rsid w:val="007831C7"/>
    <w:rsid w:val="007834BC"/>
    <w:rsid w:val="00783FB6"/>
    <w:rsid w:val="00785DF3"/>
    <w:rsid w:val="00786B32"/>
    <w:rsid w:val="00786E49"/>
    <w:rsid w:val="00787999"/>
    <w:rsid w:val="00787F34"/>
    <w:rsid w:val="0079081E"/>
    <w:rsid w:val="00793154"/>
    <w:rsid w:val="00793899"/>
    <w:rsid w:val="00794237"/>
    <w:rsid w:val="0079535D"/>
    <w:rsid w:val="00795711"/>
    <w:rsid w:val="007962B8"/>
    <w:rsid w:val="00796C8B"/>
    <w:rsid w:val="00796CDD"/>
    <w:rsid w:val="007A0184"/>
    <w:rsid w:val="007A1303"/>
    <w:rsid w:val="007A174C"/>
    <w:rsid w:val="007A2C6C"/>
    <w:rsid w:val="007A3C95"/>
    <w:rsid w:val="007A545D"/>
    <w:rsid w:val="007A6CB0"/>
    <w:rsid w:val="007A6F6F"/>
    <w:rsid w:val="007A7682"/>
    <w:rsid w:val="007B01F4"/>
    <w:rsid w:val="007B0620"/>
    <w:rsid w:val="007B4C64"/>
    <w:rsid w:val="007B4E70"/>
    <w:rsid w:val="007B550E"/>
    <w:rsid w:val="007B7889"/>
    <w:rsid w:val="007B7C54"/>
    <w:rsid w:val="007B7CE8"/>
    <w:rsid w:val="007C01F1"/>
    <w:rsid w:val="007C0E30"/>
    <w:rsid w:val="007C1E4B"/>
    <w:rsid w:val="007C1EE0"/>
    <w:rsid w:val="007C2BCC"/>
    <w:rsid w:val="007C3071"/>
    <w:rsid w:val="007C37A0"/>
    <w:rsid w:val="007C3D5B"/>
    <w:rsid w:val="007C3E5F"/>
    <w:rsid w:val="007C3EE4"/>
    <w:rsid w:val="007C411E"/>
    <w:rsid w:val="007C6359"/>
    <w:rsid w:val="007C6B46"/>
    <w:rsid w:val="007C7E89"/>
    <w:rsid w:val="007D350C"/>
    <w:rsid w:val="007D36A0"/>
    <w:rsid w:val="007D3BF1"/>
    <w:rsid w:val="007D4C10"/>
    <w:rsid w:val="007D5225"/>
    <w:rsid w:val="007D5274"/>
    <w:rsid w:val="007D56A8"/>
    <w:rsid w:val="007D5A87"/>
    <w:rsid w:val="007D6482"/>
    <w:rsid w:val="007E0077"/>
    <w:rsid w:val="007E0AF0"/>
    <w:rsid w:val="007E0D35"/>
    <w:rsid w:val="007E15AA"/>
    <w:rsid w:val="007E1CBB"/>
    <w:rsid w:val="007E2F41"/>
    <w:rsid w:val="007E3499"/>
    <w:rsid w:val="007E4C85"/>
    <w:rsid w:val="007E623F"/>
    <w:rsid w:val="007E6888"/>
    <w:rsid w:val="007E7475"/>
    <w:rsid w:val="007E7FF0"/>
    <w:rsid w:val="007F26ED"/>
    <w:rsid w:val="007F33DF"/>
    <w:rsid w:val="007F3647"/>
    <w:rsid w:val="007F4174"/>
    <w:rsid w:val="007F4393"/>
    <w:rsid w:val="007F439A"/>
    <w:rsid w:val="007F4F09"/>
    <w:rsid w:val="007F622A"/>
    <w:rsid w:val="007F6339"/>
    <w:rsid w:val="007F7704"/>
    <w:rsid w:val="00802117"/>
    <w:rsid w:val="00802708"/>
    <w:rsid w:val="00802C53"/>
    <w:rsid w:val="0080335B"/>
    <w:rsid w:val="00804641"/>
    <w:rsid w:val="00806A2E"/>
    <w:rsid w:val="00806B6E"/>
    <w:rsid w:val="00807826"/>
    <w:rsid w:val="00810EBC"/>
    <w:rsid w:val="008110E7"/>
    <w:rsid w:val="00811ED4"/>
    <w:rsid w:val="008129D2"/>
    <w:rsid w:val="008129FD"/>
    <w:rsid w:val="00812AA3"/>
    <w:rsid w:val="00812C4A"/>
    <w:rsid w:val="00813CA7"/>
    <w:rsid w:val="008142E5"/>
    <w:rsid w:val="00815382"/>
    <w:rsid w:val="0081545F"/>
    <w:rsid w:val="00816412"/>
    <w:rsid w:val="008166E3"/>
    <w:rsid w:val="0081685E"/>
    <w:rsid w:val="008203C1"/>
    <w:rsid w:val="008214D8"/>
    <w:rsid w:val="00822EB4"/>
    <w:rsid w:val="00823475"/>
    <w:rsid w:val="00823764"/>
    <w:rsid w:val="00823D42"/>
    <w:rsid w:val="00823FF9"/>
    <w:rsid w:val="0082409C"/>
    <w:rsid w:val="00824832"/>
    <w:rsid w:val="0082554F"/>
    <w:rsid w:val="00825BDC"/>
    <w:rsid w:val="00825E79"/>
    <w:rsid w:val="00830290"/>
    <w:rsid w:val="00832CAC"/>
    <w:rsid w:val="00833694"/>
    <w:rsid w:val="00833AB5"/>
    <w:rsid w:val="0083409E"/>
    <w:rsid w:val="008349C2"/>
    <w:rsid w:val="008350F5"/>
    <w:rsid w:val="00835EEB"/>
    <w:rsid w:val="00840519"/>
    <w:rsid w:val="00840617"/>
    <w:rsid w:val="00844BF8"/>
    <w:rsid w:val="00844EC4"/>
    <w:rsid w:val="00846431"/>
    <w:rsid w:val="00846758"/>
    <w:rsid w:val="00846C93"/>
    <w:rsid w:val="0084766C"/>
    <w:rsid w:val="00850076"/>
    <w:rsid w:val="008506B0"/>
    <w:rsid w:val="008506BE"/>
    <w:rsid w:val="00851B22"/>
    <w:rsid w:val="008522EA"/>
    <w:rsid w:val="00852B08"/>
    <w:rsid w:val="008565E1"/>
    <w:rsid w:val="00856A8B"/>
    <w:rsid w:val="008576C4"/>
    <w:rsid w:val="0086191B"/>
    <w:rsid w:val="00862082"/>
    <w:rsid w:val="008651C5"/>
    <w:rsid w:val="00866845"/>
    <w:rsid w:val="008670B9"/>
    <w:rsid w:val="0086769A"/>
    <w:rsid w:val="00870B37"/>
    <w:rsid w:val="0087139C"/>
    <w:rsid w:val="00872B7C"/>
    <w:rsid w:val="00872D96"/>
    <w:rsid w:val="0087304D"/>
    <w:rsid w:val="00873335"/>
    <w:rsid w:val="00873973"/>
    <w:rsid w:val="008749A4"/>
    <w:rsid w:val="008756B9"/>
    <w:rsid w:val="00875F79"/>
    <w:rsid w:val="0087663A"/>
    <w:rsid w:val="008771C6"/>
    <w:rsid w:val="008803BB"/>
    <w:rsid w:val="0088066D"/>
    <w:rsid w:val="0088176B"/>
    <w:rsid w:val="00881C95"/>
    <w:rsid w:val="00883B25"/>
    <w:rsid w:val="00884CA9"/>
    <w:rsid w:val="008854D8"/>
    <w:rsid w:val="00886376"/>
    <w:rsid w:val="00887A15"/>
    <w:rsid w:val="00887CEF"/>
    <w:rsid w:val="00890E73"/>
    <w:rsid w:val="00891A64"/>
    <w:rsid w:val="00892A6E"/>
    <w:rsid w:val="00893817"/>
    <w:rsid w:val="00894696"/>
    <w:rsid w:val="00895216"/>
    <w:rsid w:val="00895972"/>
    <w:rsid w:val="008963F9"/>
    <w:rsid w:val="00897142"/>
    <w:rsid w:val="008A1621"/>
    <w:rsid w:val="008A1849"/>
    <w:rsid w:val="008A2662"/>
    <w:rsid w:val="008A3825"/>
    <w:rsid w:val="008A3D5D"/>
    <w:rsid w:val="008A419F"/>
    <w:rsid w:val="008A5EBA"/>
    <w:rsid w:val="008A6E02"/>
    <w:rsid w:val="008B1C85"/>
    <w:rsid w:val="008B1E2B"/>
    <w:rsid w:val="008B324B"/>
    <w:rsid w:val="008B3842"/>
    <w:rsid w:val="008B4701"/>
    <w:rsid w:val="008B527D"/>
    <w:rsid w:val="008B5E3F"/>
    <w:rsid w:val="008B7249"/>
    <w:rsid w:val="008B75C0"/>
    <w:rsid w:val="008B7A2C"/>
    <w:rsid w:val="008C06F6"/>
    <w:rsid w:val="008C0FA0"/>
    <w:rsid w:val="008C1E0E"/>
    <w:rsid w:val="008C3074"/>
    <w:rsid w:val="008C64DC"/>
    <w:rsid w:val="008C71DC"/>
    <w:rsid w:val="008D1D25"/>
    <w:rsid w:val="008D2F57"/>
    <w:rsid w:val="008D425B"/>
    <w:rsid w:val="008D71F2"/>
    <w:rsid w:val="008E0B2D"/>
    <w:rsid w:val="008E235D"/>
    <w:rsid w:val="008E34A2"/>
    <w:rsid w:val="008E39EA"/>
    <w:rsid w:val="008E6E2C"/>
    <w:rsid w:val="008F05F5"/>
    <w:rsid w:val="008F0CD8"/>
    <w:rsid w:val="008F1500"/>
    <w:rsid w:val="008F1863"/>
    <w:rsid w:val="008F19BD"/>
    <w:rsid w:val="008F1DE8"/>
    <w:rsid w:val="008F23AE"/>
    <w:rsid w:val="008F28C8"/>
    <w:rsid w:val="008F30EF"/>
    <w:rsid w:val="008F3EBF"/>
    <w:rsid w:val="008F3EF6"/>
    <w:rsid w:val="0090013A"/>
    <w:rsid w:val="00901049"/>
    <w:rsid w:val="009010A2"/>
    <w:rsid w:val="009035EA"/>
    <w:rsid w:val="00904B7C"/>
    <w:rsid w:val="009057E5"/>
    <w:rsid w:val="00906961"/>
    <w:rsid w:val="00906AC4"/>
    <w:rsid w:val="00910B83"/>
    <w:rsid w:val="00912DC8"/>
    <w:rsid w:val="0091398D"/>
    <w:rsid w:val="009151F5"/>
    <w:rsid w:val="00916630"/>
    <w:rsid w:val="00916698"/>
    <w:rsid w:val="00916874"/>
    <w:rsid w:val="00920526"/>
    <w:rsid w:val="0092106E"/>
    <w:rsid w:val="009216CE"/>
    <w:rsid w:val="00921B68"/>
    <w:rsid w:val="00923C72"/>
    <w:rsid w:val="00924A9E"/>
    <w:rsid w:val="0092577E"/>
    <w:rsid w:val="00926960"/>
    <w:rsid w:val="00930363"/>
    <w:rsid w:val="00930467"/>
    <w:rsid w:val="009308DA"/>
    <w:rsid w:val="00930E00"/>
    <w:rsid w:val="00931A75"/>
    <w:rsid w:val="00932142"/>
    <w:rsid w:val="009365EF"/>
    <w:rsid w:val="00936AED"/>
    <w:rsid w:val="00936F88"/>
    <w:rsid w:val="009402B5"/>
    <w:rsid w:val="0094343E"/>
    <w:rsid w:val="00943568"/>
    <w:rsid w:val="009436A2"/>
    <w:rsid w:val="00944CA6"/>
    <w:rsid w:val="0094527F"/>
    <w:rsid w:val="00946FE1"/>
    <w:rsid w:val="009477F7"/>
    <w:rsid w:val="00947FDE"/>
    <w:rsid w:val="00950A57"/>
    <w:rsid w:val="00951BE9"/>
    <w:rsid w:val="00952435"/>
    <w:rsid w:val="009526E7"/>
    <w:rsid w:val="0095321A"/>
    <w:rsid w:val="009545D9"/>
    <w:rsid w:val="00955A5D"/>
    <w:rsid w:val="00956755"/>
    <w:rsid w:val="00956FC2"/>
    <w:rsid w:val="00957E0B"/>
    <w:rsid w:val="00960A2D"/>
    <w:rsid w:val="00960D23"/>
    <w:rsid w:val="00961311"/>
    <w:rsid w:val="00961976"/>
    <w:rsid w:val="009632AB"/>
    <w:rsid w:val="00963910"/>
    <w:rsid w:val="00963976"/>
    <w:rsid w:val="00963A84"/>
    <w:rsid w:val="00964A62"/>
    <w:rsid w:val="00965970"/>
    <w:rsid w:val="0096626B"/>
    <w:rsid w:val="009714F0"/>
    <w:rsid w:val="00971603"/>
    <w:rsid w:val="00972389"/>
    <w:rsid w:val="0097343D"/>
    <w:rsid w:val="00973915"/>
    <w:rsid w:val="00973BDA"/>
    <w:rsid w:val="00975B78"/>
    <w:rsid w:val="0097605F"/>
    <w:rsid w:val="00976651"/>
    <w:rsid w:val="00976DA2"/>
    <w:rsid w:val="009779DA"/>
    <w:rsid w:val="0098038C"/>
    <w:rsid w:val="009806C6"/>
    <w:rsid w:val="009815F5"/>
    <w:rsid w:val="009825D8"/>
    <w:rsid w:val="009839AD"/>
    <w:rsid w:val="00984521"/>
    <w:rsid w:val="0098609B"/>
    <w:rsid w:val="00986E8F"/>
    <w:rsid w:val="00987D85"/>
    <w:rsid w:val="00990164"/>
    <w:rsid w:val="0099153E"/>
    <w:rsid w:val="00992306"/>
    <w:rsid w:val="009924BB"/>
    <w:rsid w:val="0099283D"/>
    <w:rsid w:val="00993EB3"/>
    <w:rsid w:val="00993F3C"/>
    <w:rsid w:val="009944E7"/>
    <w:rsid w:val="0099466E"/>
    <w:rsid w:val="00995425"/>
    <w:rsid w:val="009955A6"/>
    <w:rsid w:val="00996CDA"/>
    <w:rsid w:val="009976A7"/>
    <w:rsid w:val="009A06B9"/>
    <w:rsid w:val="009A06FA"/>
    <w:rsid w:val="009A22A4"/>
    <w:rsid w:val="009A318F"/>
    <w:rsid w:val="009A3C3A"/>
    <w:rsid w:val="009A4767"/>
    <w:rsid w:val="009A490E"/>
    <w:rsid w:val="009A4EF8"/>
    <w:rsid w:val="009A594F"/>
    <w:rsid w:val="009A6691"/>
    <w:rsid w:val="009A6BC5"/>
    <w:rsid w:val="009A7048"/>
    <w:rsid w:val="009A7BDB"/>
    <w:rsid w:val="009B0735"/>
    <w:rsid w:val="009B0C86"/>
    <w:rsid w:val="009B181A"/>
    <w:rsid w:val="009B2BA3"/>
    <w:rsid w:val="009B3289"/>
    <w:rsid w:val="009B4ED1"/>
    <w:rsid w:val="009B5A7F"/>
    <w:rsid w:val="009B5FA2"/>
    <w:rsid w:val="009B6D1B"/>
    <w:rsid w:val="009B6FC9"/>
    <w:rsid w:val="009B71A6"/>
    <w:rsid w:val="009C04BB"/>
    <w:rsid w:val="009C1431"/>
    <w:rsid w:val="009C1BC9"/>
    <w:rsid w:val="009C3133"/>
    <w:rsid w:val="009C3AC6"/>
    <w:rsid w:val="009C5B7A"/>
    <w:rsid w:val="009C5FD4"/>
    <w:rsid w:val="009C60CA"/>
    <w:rsid w:val="009C6362"/>
    <w:rsid w:val="009C784F"/>
    <w:rsid w:val="009C79D3"/>
    <w:rsid w:val="009C7A4F"/>
    <w:rsid w:val="009C7E00"/>
    <w:rsid w:val="009D1771"/>
    <w:rsid w:val="009D1B7D"/>
    <w:rsid w:val="009D491D"/>
    <w:rsid w:val="009D4F29"/>
    <w:rsid w:val="009D6283"/>
    <w:rsid w:val="009D6BB9"/>
    <w:rsid w:val="009D7707"/>
    <w:rsid w:val="009D7D3A"/>
    <w:rsid w:val="009E04F1"/>
    <w:rsid w:val="009E0E9C"/>
    <w:rsid w:val="009E1349"/>
    <w:rsid w:val="009E175D"/>
    <w:rsid w:val="009E231C"/>
    <w:rsid w:val="009E4CE3"/>
    <w:rsid w:val="009E532B"/>
    <w:rsid w:val="009E5592"/>
    <w:rsid w:val="009E628A"/>
    <w:rsid w:val="009E6602"/>
    <w:rsid w:val="009E6780"/>
    <w:rsid w:val="009F05DE"/>
    <w:rsid w:val="009F066E"/>
    <w:rsid w:val="009F0A0D"/>
    <w:rsid w:val="009F0DE4"/>
    <w:rsid w:val="009F111A"/>
    <w:rsid w:val="009F1B13"/>
    <w:rsid w:val="009F3410"/>
    <w:rsid w:val="009F3DE9"/>
    <w:rsid w:val="009F4F12"/>
    <w:rsid w:val="009F4F95"/>
    <w:rsid w:val="009F6691"/>
    <w:rsid w:val="009F7684"/>
    <w:rsid w:val="009F7A05"/>
    <w:rsid w:val="009F7EDD"/>
    <w:rsid w:val="00A015D6"/>
    <w:rsid w:val="00A0211F"/>
    <w:rsid w:val="00A040F3"/>
    <w:rsid w:val="00A04537"/>
    <w:rsid w:val="00A058CD"/>
    <w:rsid w:val="00A0594C"/>
    <w:rsid w:val="00A05B0A"/>
    <w:rsid w:val="00A062EB"/>
    <w:rsid w:val="00A063F8"/>
    <w:rsid w:val="00A06D85"/>
    <w:rsid w:val="00A07340"/>
    <w:rsid w:val="00A07816"/>
    <w:rsid w:val="00A07905"/>
    <w:rsid w:val="00A10F25"/>
    <w:rsid w:val="00A1199F"/>
    <w:rsid w:val="00A128DE"/>
    <w:rsid w:val="00A13002"/>
    <w:rsid w:val="00A135D2"/>
    <w:rsid w:val="00A17817"/>
    <w:rsid w:val="00A17F7A"/>
    <w:rsid w:val="00A21AFF"/>
    <w:rsid w:val="00A21D98"/>
    <w:rsid w:val="00A235A2"/>
    <w:rsid w:val="00A24E9C"/>
    <w:rsid w:val="00A259A9"/>
    <w:rsid w:val="00A263FF"/>
    <w:rsid w:val="00A27134"/>
    <w:rsid w:val="00A279DA"/>
    <w:rsid w:val="00A30A7D"/>
    <w:rsid w:val="00A3287C"/>
    <w:rsid w:val="00A32A1C"/>
    <w:rsid w:val="00A37374"/>
    <w:rsid w:val="00A41DA9"/>
    <w:rsid w:val="00A424D7"/>
    <w:rsid w:val="00A42EA8"/>
    <w:rsid w:val="00A4346B"/>
    <w:rsid w:val="00A43470"/>
    <w:rsid w:val="00A440B4"/>
    <w:rsid w:val="00A445D6"/>
    <w:rsid w:val="00A46DF8"/>
    <w:rsid w:val="00A47022"/>
    <w:rsid w:val="00A50424"/>
    <w:rsid w:val="00A506A3"/>
    <w:rsid w:val="00A50924"/>
    <w:rsid w:val="00A50DFE"/>
    <w:rsid w:val="00A515DF"/>
    <w:rsid w:val="00A51801"/>
    <w:rsid w:val="00A51F71"/>
    <w:rsid w:val="00A53BC2"/>
    <w:rsid w:val="00A53D0C"/>
    <w:rsid w:val="00A53F6A"/>
    <w:rsid w:val="00A54354"/>
    <w:rsid w:val="00A550A4"/>
    <w:rsid w:val="00A552F7"/>
    <w:rsid w:val="00A554B3"/>
    <w:rsid w:val="00A564A4"/>
    <w:rsid w:val="00A61700"/>
    <w:rsid w:val="00A628B4"/>
    <w:rsid w:val="00A63531"/>
    <w:rsid w:val="00A64802"/>
    <w:rsid w:val="00A67860"/>
    <w:rsid w:val="00A717B1"/>
    <w:rsid w:val="00A72B6D"/>
    <w:rsid w:val="00A72E9C"/>
    <w:rsid w:val="00A7330C"/>
    <w:rsid w:val="00A73978"/>
    <w:rsid w:val="00A73AE8"/>
    <w:rsid w:val="00A74595"/>
    <w:rsid w:val="00A75C7B"/>
    <w:rsid w:val="00A75EF2"/>
    <w:rsid w:val="00A76880"/>
    <w:rsid w:val="00A80187"/>
    <w:rsid w:val="00A804BD"/>
    <w:rsid w:val="00A80788"/>
    <w:rsid w:val="00A80C0B"/>
    <w:rsid w:val="00A80FBF"/>
    <w:rsid w:val="00A8162A"/>
    <w:rsid w:val="00A81AF7"/>
    <w:rsid w:val="00A850CA"/>
    <w:rsid w:val="00A85177"/>
    <w:rsid w:val="00A8560B"/>
    <w:rsid w:val="00A85AA9"/>
    <w:rsid w:val="00A86AA6"/>
    <w:rsid w:val="00A87FF5"/>
    <w:rsid w:val="00A90BB4"/>
    <w:rsid w:val="00A9469C"/>
    <w:rsid w:val="00A96AF1"/>
    <w:rsid w:val="00A9742A"/>
    <w:rsid w:val="00A97ECC"/>
    <w:rsid w:val="00AA2C28"/>
    <w:rsid w:val="00AA2EC5"/>
    <w:rsid w:val="00AA5431"/>
    <w:rsid w:val="00AA683E"/>
    <w:rsid w:val="00AB0018"/>
    <w:rsid w:val="00AB0643"/>
    <w:rsid w:val="00AB0B56"/>
    <w:rsid w:val="00AB0DF8"/>
    <w:rsid w:val="00AB10C8"/>
    <w:rsid w:val="00AB19CC"/>
    <w:rsid w:val="00AB2035"/>
    <w:rsid w:val="00AB241E"/>
    <w:rsid w:val="00AB3D93"/>
    <w:rsid w:val="00AB4173"/>
    <w:rsid w:val="00AB43E9"/>
    <w:rsid w:val="00AB538C"/>
    <w:rsid w:val="00AB6124"/>
    <w:rsid w:val="00AB689B"/>
    <w:rsid w:val="00AB7015"/>
    <w:rsid w:val="00AB7A16"/>
    <w:rsid w:val="00AB7F2C"/>
    <w:rsid w:val="00AC0316"/>
    <w:rsid w:val="00AC10D5"/>
    <w:rsid w:val="00AC172C"/>
    <w:rsid w:val="00AC35AE"/>
    <w:rsid w:val="00AC48B3"/>
    <w:rsid w:val="00AC4A02"/>
    <w:rsid w:val="00AC5747"/>
    <w:rsid w:val="00AD2C40"/>
    <w:rsid w:val="00AD2CA5"/>
    <w:rsid w:val="00AD2D80"/>
    <w:rsid w:val="00AD3185"/>
    <w:rsid w:val="00AD3917"/>
    <w:rsid w:val="00AD4045"/>
    <w:rsid w:val="00AD4A79"/>
    <w:rsid w:val="00AD4EC9"/>
    <w:rsid w:val="00AD5468"/>
    <w:rsid w:val="00AD5F21"/>
    <w:rsid w:val="00AE0660"/>
    <w:rsid w:val="00AE0CB6"/>
    <w:rsid w:val="00AE152F"/>
    <w:rsid w:val="00AE1CA5"/>
    <w:rsid w:val="00AE1CE6"/>
    <w:rsid w:val="00AE2DFD"/>
    <w:rsid w:val="00AE34AF"/>
    <w:rsid w:val="00AE3B63"/>
    <w:rsid w:val="00AE44C3"/>
    <w:rsid w:val="00AE4A4E"/>
    <w:rsid w:val="00AE4CA7"/>
    <w:rsid w:val="00AE6DE6"/>
    <w:rsid w:val="00AE7609"/>
    <w:rsid w:val="00AF158E"/>
    <w:rsid w:val="00AF163C"/>
    <w:rsid w:val="00AF2A33"/>
    <w:rsid w:val="00AF2C5C"/>
    <w:rsid w:val="00AF36A0"/>
    <w:rsid w:val="00AF39B0"/>
    <w:rsid w:val="00AF3EC5"/>
    <w:rsid w:val="00AF4357"/>
    <w:rsid w:val="00AF449C"/>
    <w:rsid w:val="00AF4C57"/>
    <w:rsid w:val="00AF5821"/>
    <w:rsid w:val="00AF5E99"/>
    <w:rsid w:val="00B001AA"/>
    <w:rsid w:val="00B004CC"/>
    <w:rsid w:val="00B01196"/>
    <w:rsid w:val="00B011B4"/>
    <w:rsid w:val="00B01425"/>
    <w:rsid w:val="00B014B3"/>
    <w:rsid w:val="00B01FBD"/>
    <w:rsid w:val="00B0213D"/>
    <w:rsid w:val="00B0426A"/>
    <w:rsid w:val="00B0461A"/>
    <w:rsid w:val="00B04795"/>
    <w:rsid w:val="00B05E01"/>
    <w:rsid w:val="00B06FCC"/>
    <w:rsid w:val="00B1193D"/>
    <w:rsid w:val="00B137A1"/>
    <w:rsid w:val="00B138DC"/>
    <w:rsid w:val="00B141CE"/>
    <w:rsid w:val="00B148E9"/>
    <w:rsid w:val="00B14E28"/>
    <w:rsid w:val="00B1546B"/>
    <w:rsid w:val="00B157A7"/>
    <w:rsid w:val="00B15C4F"/>
    <w:rsid w:val="00B160A6"/>
    <w:rsid w:val="00B1642F"/>
    <w:rsid w:val="00B16A6F"/>
    <w:rsid w:val="00B17D5F"/>
    <w:rsid w:val="00B20D1C"/>
    <w:rsid w:val="00B211A0"/>
    <w:rsid w:val="00B2186C"/>
    <w:rsid w:val="00B21B90"/>
    <w:rsid w:val="00B22E93"/>
    <w:rsid w:val="00B23042"/>
    <w:rsid w:val="00B25F62"/>
    <w:rsid w:val="00B26EC0"/>
    <w:rsid w:val="00B31C5F"/>
    <w:rsid w:val="00B31EBF"/>
    <w:rsid w:val="00B31FD6"/>
    <w:rsid w:val="00B322A0"/>
    <w:rsid w:val="00B330ED"/>
    <w:rsid w:val="00B33ED9"/>
    <w:rsid w:val="00B34785"/>
    <w:rsid w:val="00B34B35"/>
    <w:rsid w:val="00B364B7"/>
    <w:rsid w:val="00B36A55"/>
    <w:rsid w:val="00B400D4"/>
    <w:rsid w:val="00B42306"/>
    <w:rsid w:val="00B425C0"/>
    <w:rsid w:val="00B427B7"/>
    <w:rsid w:val="00B42BCC"/>
    <w:rsid w:val="00B43451"/>
    <w:rsid w:val="00B43E18"/>
    <w:rsid w:val="00B454CD"/>
    <w:rsid w:val="00B45870"/>
    <w:rsid w:val="00B45AAA"/>
    <w:rsid w:val="00B47DF4"/>
    <w:rsid w:val="00B50086"/>
    <w:rsid w:val="00B50847"/>
    <w:rsid w:val="00B50B0F"/>
    <w:rsid w:val="00B51720"/>
    <w:rsid w:val="00B51B71"/>
    <w:rsid w:val="00B51C60"/>
    <w:rsid w:val="00B51E76"/>
    <w:rsid w:val="00B51EA0"/>
    <w:rsid w:val="00B52155"/>
    <w:rsid w:val="00B5237E"/>
    <w:rsid w:val="00B524A9"/>
    <w:rsid w:val="00B52B8C"/>
    <w:rsid w:val="00B536C2"/>
    <w:rsid w:val="00B538C4"/>
    <w:rsid w:val="00B603A7"/>
    <w:rsid w:val="00B60458"/>
    <w:rsid w:val="00B60BA6"/>
    <w:rsid w:val="00B60C23"/>
    <w:rsid w:val="00B61652"/>
    <w:rsid w:val="00B630E5"/>
    <w:rsid w:val="00B6320A"/>
    <w:rsid w:val="00B63B05"/>
    <w:rsid w:val="00B64554"/>
    <w:rsid w:val="00B64EE0"/>
    <w:rsid w:val="00B66B23"/>
    <w:rsid w:val="00B674A8"/>
    <w:rsid w:val="00B67820"/>
    <w:rsid w:val="00B702E2"/>
    <w:rsid w:val="00B70328"/>
    <w:rsid w:val="00B70FC1"/>
    <w:rsid w:val="00B71C5F"/>
    <w:rsid w:val="00B74458"/>
    <w:rsid w:val="00B757A8"/>
    <w:rsid w:val="00B75EAB"/>
    <w:rsid w:val="00B7631A"/>
    <w:rsid w:val="00B76591"/>
    <w:rsid w:val="00B7674E"/>
    <w:rsid w:val="00B77317"/>
    <w:rsid w:val="00B77D49"/>
    <w:rsid w:val="00B80AC1"/>
    <w:rsid w:val="00B81229"/>
    <w:rsid w:val="00B827AD"/>
    <w:rsid w:val="00B82C4A"/>
    <w:rsid w:val="00B84086"/>
    <w:rsid w:val="00B863BA"/>
    <w:rsid w:val="00B87C0F"/>
    <w:rsid w:val="00B91489"/>
    <w:rsid w:val="00B91CD4"/>
    <w:rsid w:val="00B9211D"/>
    <w:rsid w:val="00B92415"/>
    <w:rsid w:val="00B93302"/>
    <w:rsid w:val="00B933F3"/>
    <w:rsid w:val="00B9482F"/>
    <w:rsid w:val="00B94B5E"/>
    <w:rsid w:val="00B9542E"/>
    <w:rsid w:val="00B957DE"/>
    <w:rsid w:val="00B95D6B"/>
    <w:rsid w:val="00B967C1"/>
    <w:rsid w:val="00B96B82"/>
    <w:rsid w:val="00B96D50"/>
    <w:rsid w:val="00B96F02"/>
    <w:rsid w:val="00BA03D1"/>
    <w:rsid w:val="00BA06FE"/>
    <w:rsid w:val="00BA1668"/>
    <w:rsid w:val="00BA1A79"/>
    <w:rsid w:val="00BA1B2E"/>
    <w:rsid w:val="00BA3544"/>
    <w:rsid w:val="00BA3941"/>
    <w:rsid w:val="00BA5A5A"/>
    <w:rsid w:val="00BB098D"/>
    <w:rsid w:val="00BB18C3"/>
    <w:rsid w:val="00BB2D05"/>
    <w:rsid w:val="00BB6022"/>
    <w:rsid w:val="00BB7482"/>
    <w:rsid w:val="00BB7600"/>
    <w:rsid w:val="00BB766E"/>
    <w:rsid w:val="00BC103F"/>
    <w:rsid w:val="00BC3B52"/>
    <w:rsid w:val="00BC433E"/>
    <w:rsid w:val="00BC5435"/>
    <w:rsid w:val="00BC5934"/>
    <w:rsid w:val="00BC61B4"/>
    <w:rsid w:val="00BC6B3F"/>
    <w:rsid w:val="00BC6C43"/>
    <w:rsid w:val="00BD256F"/>
    <w:rsid w:val="00BD25A4"/>
    <w:rsid w:val="00BD2DD0"/>
    <w:rsid w:val="00BD30D3"/>
    <w:rsid w:val="00BD5168"/>
    <w:rsid w:val="00BD5ACC"/>
    <w:rsid w:val="00BD609A"/>
    <w:rsid w:val="00BD6872"/>
    <w:rsid w:val="00BE0464"/>
    <w:rsid w:val="00BE081E"/>
    <w:rsid w:val="00BE1412"/>
    <w:rsid w:val="00BE1625"/>
    <w:rsid w:val="00BE1DD6"/>
    <w:rsid w:val="00BE1EDF"/>
    <w:rsid w:val="00BE1FD8"/>
    <w:rsid w:val="00BE27DD"/>
    <w:rsid w:val="00BE2890"/>
    <w:rsid w:val="00BE2F6E"/>
    <w:rsid w:val="00BF1418"/>
    <w:rsid w:val="00BF1DF7"/>
    <w:rsid w:val="00BF237B"/>
    <w:rsid w:val="00BF3ADB"/>
    <w:rsid w:val="00BF5022"/>
    <w:rsid w:val="00BF60BB"/>
    <w:rsid w:val="00BF60D7"/>
    <w:rsid w:val="00BF61F6"/>
    <w:rsid w:val="00BF7E54"/>
    <w:rsid w:val="00C02F2E"/>
    <w:rsid w:val="00C03413"/>
    <w:rsid w:val="00C048DA"/>
    <w:rsid w:val="00C065CA"/>
    <w:rsid w:val="00C06D29"/>
    <w:rsid w:val="00C07127"/>
    <w:rsid w:val="00C10336"/>
    <w:rsid w:val="00C104ED"/>
    <w:rsid w:val="00C11229"/>
    <w:rsid w:val="00C11DAE"/>
    <w:rsid w:val="00C12C65"/>
    <w:rsid w:val="00C162A4"/>
    <w:rsid w:val="00C17BB3"/>
    <w:rsid w:val="00C17CFD"/>
    <w:rsid w:val="00C20310"/>
    <w:rsid w:val="00C20DD3"/>
    <w:rsid w:val="00C23CF6"/>
    <w:rsid w:val="00C2425F"/>
    <w:rsid w:val="00C256FB"/>
    <w:rsid w:val="00C25990"/>
    <w:rsid w:val="00C26A43"/>
    <w:rsid w:val="00C27444"/>
    <w:rsid w:val="00C30195"/>
    <w:rsid w:val="00C304A4"/>
    <w:rsid w:val="00C3050C"/>
    <w:rsid w:val="00C310D9"/>
    <w:rsid w:val="00C316DF"/>
    <w:rsid w:val="00C31883"/>
    <w:rsid w:val="00C3288C"/>
    <w:rsid w:val="00C33071"/>
    <w:rsid w:val="00C33969"/>
    <w:rsid w:val="00C347B0"/>
    <w:rsid w:val="00C34A84"/>
    <w:rsid w:val="00C361E8"/>
    <w:rsid w:val="00C364FA"/>
    <w:rsid w:val="00C377AA"/>
    <w:rsid w:val="00C37E05"/>
    <w:rsid w:val="00C4006B"/>
    <w:rsid w:val="00C40EA9"/>
    <w:rsid w:val="00C417CE"/>
    <w:rsid w:val="00C41A0C"/>
    <w:rsid w:val="00C41B35"/>
    <w:rsid w:val="00C436B9"/>
    <w:rsid w:val="00C46369"/>
    <w:rsid w:val="00C4639C"/>
    <w:rsid w:val="00C463EF"/>
    <w:rsid w:val="00C50FC6"/>
    <w:rsid w:val="00C510C4"/>
    <w:rsid w:val="00C51931"/>
    <w:rsid w:val="00C52718"/>
    <w:rsid w:val="00C53180"/>
    <w:rsid w:val="00C53318"/>
    <w:rsid w:val="00C53CD6"/>
    <w:rsid w:val="00C54E9F"/>
    <w:rsid w:val="00C55125"/>
    <w:rsid w:val="00C55377"/>
    <w:rsid w:val="00C554A2"/>
    <w:rsid w:val="00C5579C"/>
    <w:rsid w:val="00C55DE1"/>
    <w:rsid w:val="00C56639"/>
    <w:rsid w:val="00C57D52"/>
    <w:rsid w:val="00C602DB"/>
    <w:rsid w:val="00C60A45"/>
    <w:rsid w:val="00C60BCF"/>
    <w:rsid w:val="00C62AB6"/>
    <w:rsid w:val="00C64789"/>
    <w:rsid w:val="00C64BB0"/>
    <w:rsid w:val="00C65568"/>
    <w:rsid w:val="00C65713"/>
    <w:rsid w:val="00C70AFE"/>
    <w:rsid w:val="00C71699"/>
    <w:rsid w:val="00C720D3"/>
    <w:rsid w:val="00C72511"/>
    <w:rsid w:val="00C72973"/>
    <w:rsid w:val="00C7466A"/>
    <w:rsid w:val="00C75C64"/>
    <w:rsid w:val="00C76684"/>
    <w:rsid w:val="00C80E79"/>
    <w:rsid w:val="00C81044"/>
    <w:rsid w:val="00C83B1D"/>
    <w:rsid w:val="00C87494"/>
    <w:rsid w:val="00C90BB6"/>
    <w:rsid w:val="00C90BCF"/>
    <w:rsid w:val="00C920F0"/>
    <w:rsid w:val="00C92227"/>
    <w:rsid w:val="00C93E32"/>
    <w:rsid w:val="00C9438B"/>
    <w:rsid w:val="00C9630A"/>
    <w:rsid w:val="00CA0451"/>
    <w:rsid w:val="00CA1823"/>
    <w:rsid w:val="00CA2E7C"/>
    <w:rsid w:val="00CA32A8"/>
    <w:rsid w:val="00CA4B14"/>
    <w:rsid w:val="00CA53C9"/>
    <w:rsid w:val="00CA637A"/>
    <w:rsid w:val="00CA7186"/>
    <w:rsid w:val="00CA7F31"/>
    <w:rsid w:val="00CB27C7"/>
    <w:rsid w:val="00CB43F2"/>
    <w:rsid w:val="00CB468B"/>
    <w:rsid w:val="00CB5EBF"/>
    <w:rsid w:val="00CC047A"/>
    <w:rsid w:val="00CC0526"/>
    <w:rsid w:val="00CC07C2"/>
    <w:rsid w:val="00CC0B30"/>
    <w:rsid w:val="00CC10A4"/>
    <w:rsid w:val="00CC1E51"/>
    <w:rsid w:val="00CC229A"/>
    <w:rsid w:val="00CC3E6F"/>
    <w:rsid w:val="00CC3EDB"/>
    <w:rsid w:val="00CC4C24"/>
    <w:rsid w:val="00CC51BA"/>
    <w:rsid w:val="00CC6C8F"/>
    <w:rsid w:val="00CC73D7"/>
    <w:rsid w:val="00CC7601"/>
    <w:rsid w:val="00CC7E9B"/>
    <w:rsid w:val="00CD068C"/>
    <w:rsid w:val="00CD0AAF"/>
    <w:rsid w:val="00CD1A2F"/>
    <w:rsid w:val="00CD23F3"/>
    <w:rsid w:val="00CD3E7E"/>
    <w:rsid w:val="00CD5CAD"/>
    <w:rsid w:val="00CD5FE9"/>
    <w:rsid w:val="00CD6042"/>
    <w:rsid w:val="00CD6AE9"/>
    <w:rsid w:val="00CD7255"/>
    <w:rsid w:val="00CD728F"/>
    <w:rsid w:val="00CE01CD"/>
    <w:rsid w:val="00CE093E"/>
    <w:rsid w:val="00CE176A"/>
    <w:rsid w:val="00CE3E85"/>
    <w:rsid w:val="00CE4F87"/>
    <w:rsid w:val="00CE6B55"/>
    <w:rsid w:val="00CE743E"/>
    <w:rsid w:val="00CE7731"/>
    <w:rsid w:val="00CE79D8"/>
    <w:rsid w:val="00CF1A92"/>
    <w:rsid w:val="00CF39E8"/>
    <w:rsid w:val="00CF3D4D"/>
    <w:rsid w:val="00CF514A"/>
    <w:rsid w:val="00CF58DD"/>
    <w:rsid w:val="00CF5F82"/>
    <w:rsid w:val="00CF62C8"/>
    <w:rsid w:val="00CF7385"/>
    <w:rsid w:val="00CF7CA2"/>
    <w:rsid w:val="00D0053D"/>
    <w:rsid w:val="00D0096B"/>
    <w:rsid w:val="00D01AAF"/>
    <w:rsid w:val="00D02060"/>
    <w:rsid w:val="00D039E0"/>
    <w:rsid w:val="00D04210"/>
    <w:rsid w:val="00D04A9A"/>
    <w:rsid w:val="00D06248"/>
    <w:rsid w:val="00D06A83"/>
    <w:rsid w:val="00D0775E"/>
    <w:rsid w:val="00D10C2B"/>
    <w:rsid w:val="00D10CFE"/>
    <w:rsid w:val="00D11510"/>
    <w:rsid w:val="00D11FA0"/>
    <w:rsid w:val="00D12405"/>
    <w:rsid w:val="00D12D62"/>
    <w:rsid w:val="00D14095"/>
    <w:rsid w:val="00D149E5"/>
    <w:rsid w:val="00D14E6C"/>
    <w:rsid w:val="00D151D7"/>
    <w:rsid w:val="00D15472"/>
    <w:rsid w:val="00D15B6C"/>
    <w:rsid w:val="00D15FC9"/>
    <w:rsid w:val="00D17D16"/>
    <w:rsid w:val="00D17D82"/>
    <w:rsid w:val="00D20583"/>
    <w:rsid w:val="00D22941"/>
    <w:rsid w:val="00D22E70"/>
    <w:rsid w:val="00D2349B"/>
    <w:rsid w:val="00D23733"/>
    <w:rsid w:val="00D2460E"/>
    <w:rsid w:val="00D24DD7"/>
    <w:rsid w:val="00D2513B"/>
    <w:rsid w:val="00D25D6B"/>
    <w:rsid w:val="00D26124"/>
    <w:rsid w:val="00D266FA"/>
    <w:rsid w:val="00D27201"/>
    <w:rsid w:val="00D27B84"/>
    <w:rsid w:val="00D3145B"/>
    <w:rsid w:val="00D31B21"/>
    <w:rsid w:val="00D32450"/>
    <w:rsid w:val="00D3250E"/>
    <w:rsid w:val="00D32DFE"/>
    <w:rsid w:val="00D33982"/>
    <w:rsid w:val="00D341A5"/>
    <w:rsid w:val="00D341AC"/>
    <w:rsid w:val="00D34BFE"/>
    <w:rsid w:val="00D35D29"/>
    <w:rsid w:val="00D367E9"/>
    <w:rsid w:val="00D36B4A"/>
    <w:rsid w:val="00D40338"/>
    <w:rsid w:val="00D409C8"/>
    <w:rsid w:val="00D40A32"/>
    <w:rsid w:val="00D41204"/>
    <w:rsid w:val="00D42A9D"/>
    <w:rsid w:val="00D440EF"/>
    <w:rsid w:val="00D4412D"/>
    <w:rsid w:val="00D4465D"/>
    <w:rsid w:val="00D44CA8"/>
    <w:rsid w:val="00D44F3D"/>
    <w:rsid w:val="00D45B0E"/>
    <w:rsid w:val="00D47D0E"/>
    <w:rsid w:val="00D54096"/>
    <w:rsid w:val="00D552AF"/>
    <w:rsid w:val="00D566EA"/>
    <w:rsid w:val="00D607DC"/>
    <w:rsid w:val="00D60ED5"/>
    <w:rsid w:val="00D61529"/>
    <w:rsid w:val="00D61E97"/>
    <w:rsid w:val="00D6372C"/>
    <w:rsid w:val="00D63D0D"/>
    <w:rsid w:val="00D66A9C"/>
    <w:rsid w:val="00D7016D"/>
    <w:rsid w:val="00D7082B"/>
    <w:rsid w:val="00D719E0"/>
    <w:rsid w:val="00D724AC"/>
    <w:rsid w:val="00D747D4"/>
    <w:rsid w:val="00D752A7"/>
    <w:rsid w:val="00D754AB"/>
    <w:rsid w:val="00D75A48"/>
    <w:rsid w:val="00D75B7F"/>
    <w:rsid w:val="00D7767D"/>
    <w:rsid w:val="00D77A27"/>
    <w:rsid w:val="00D77F91"/>
    <w:rsid w:val="00D80720"/>
    <w:rsid w:val="00D812B5"/>
    <w:rsid w:val="00D81638"/>
    <w:rsid w:val="00D81F18"/>
    <w:rsid w:val="00D84157"/>
    <w:rsid w:val="00D84847"/>
    <w:rsid w:val="00D86A8D"/>
    <w:rsid w:val="00D90C68"/>
    <w:rsid w:val="00D913AB"/>
    <w:rsid w:val="00D91EBA"/>
    <w:rsid w:val="00D93A61"/>
    <w:rsid w:val="00D94BD1"/>
    <w:rsid w:val="00D9504C"/>
    <w:rsid w:val="00D9521D"/>
    <w:rsid w:val="00D9563F"/>
    <w:rsid w:val="00D95945"/>
    <w:rsid w:val="00D978B1"/>
    <w:rsid w:val="00DA104F"/>
    <w:rsid w:val="00DA1ACA"/>
    <w:rsid w:val="00DA32A6"/>
    <w:rsid w:val="00DA4330"/>
    <w:rsid w:val="00DA4E0C"/>
    <w:rsid w:val="00DA5EBD"/>
    <w:rsid w:val="00DA6BBB"/>
    <w:rsid w:val="00DA7114"/>
    <w:rsid w:val="00DB00EE"/>
    <w:rsid w:val="00DB13EC"/>
    <w:rsid w:val="00DB1C5B"/>
    <w:rsid w:val="00DB26C1"/>
    <w:rsid w:val="00DB3716"/>
    <w:rsid w:val="00DB53B0"/>
    <w:rsid w:val="00DB5C32"/>
    <w:rsid w:val="00DB63F2"/>
    <w:rsid w:val="00DB6433"/>
    <w:rsid w:val="00DB6804"/>
    <w:rsid w:val="00DB75A8"/>
    <w:rsid w:val="00DB7722"/>
    <w:rsid w:val="00DC0162"/>
    <w:rsid w:val="00DC02D7"/>
    <w:rsid w:val="00DC13CF"/>
    <w:rsid w:val="00DC16B9"/>
    <w:rsid w:val="00DC2C65"/>
    <w:rsid w:val="00DC2F50"/>
    <w:rsid w:val="00DC3365"/>
    <w:rsid w:val="00DC4790"/>
    <w:rsid w:val="00DC5127"/>
    <w:rsid w:val="00DC611D"/>
    <w:rsid w:val="00DC6B4D"/>
    <w:rsid w:val="00DC7693"/>
    <w:rsid w:val="00DD1507"/>
    <w:rsid w:val="00DD2068"/>
    <w:rsid w:val="00DD357D"/>
    <w:rsid w:val="00DD4227"/>
    <w:rsid w:val="00DD48DD"/>
    <w:rsid w:val="00DD633C"/>
    <w:rsid w:val="00DD71A4"/>
    <w:rsid w:val="00DD7593"/>
    <w:rsid w:val="00DE27B3"/>
    <w:rsid w:val="00DE3BEC"/>
    <w:rsid w:val="00DE422E"/>
    <w:rsid w:val="00DF12AE"/>
    <w:rsid w:val="00DF1548"/>
    <w:rsid w:val="00DF171B"/>
    <w:rsid w:val="00DF1800"/>
    <w:rsid w:val="00DF192D"/>
    <w:rsid w:val="00DF1DD2"/>
    <w:rsid w:val="00DF208D"/>
    <w:rsid w:val="00DF2B4D"/>
    <w:rsid w:val="00DF387D"/>
    <w:rsid w:val="00DF3C98"/>
    <w:rsid w:val="00DF3F3D"/>
    <w:rsid w:val="00DF63E0"/>
    <w:rsid w:val="00DF6445"/>
    <w:rsid w:val="00DF7D9A"/>
    <w:rsid w:val="00E0137E"/>
    <w:rsid w:val="00E01E5A"/>
    <w:rsid w:val="00E02783"/>
    <w:rsid w:val="00E02CD2"/>
    <w:rsid w:val="00E02EBC"/>
    <w:rsid w:val="00E04250"/>
    <w:rsid w:val="00E04598"/>
    <w:rsid w:val="00E04C15"/>
    <w:rsid w:val="00E05888"/>
    <w:rsid w:val="00E06B3A"/>
    <w:rsid w:val="00E0707C"/>
    <w:rsid w:val="00E10618"/>
    <w:rsid w:val="00E109B1"/>
    <w:rsid w:val="00E10B3C"/>
    <w:rsid w:val="00E10C89"/>
    <w:rsid w:val="00E10ED1"/>
    <w:rsid w:val="00E13044"/>
    <w:rsid w:val="00E1306C"/>
    <w:rsid w:val="00E13775"/>
    <w:rsid w:val="00E143F1"/>
    <w:rsid w:val="00E14914"/>
    <w:rsid w:val="00E14F46"/>
    <w:rsid w:val="00E16CE8"/>
    <w:rsid w:val="00E17E13"/>
    <w:rsid w:val="00E20C23"/>
    <w:rsid w:val="00E21ACF"/>
    <w:rsid w:val="00E22843"/>
    <w:rsid w:val="00E22889"/>
    <w:rsid w:val="00E2312E"/>
    <w:rsid w:val="00E24A60"/>
    <w:rsid w:val="00E25384"/>
    <w:rsid w:val="00E255C1"/>
    <w:rsid w:val="00E2733D"/>
    <w:rsid w:val="00E31B0A"/>
    <w:rsid w:val="00E31B25"/>
    <w:rsid w:val="00E32955"/>
    <w:rsid w:val="00E33164"/>
    <w:rsid w:val="00E33A06"/>
    <w:rsid w:val="00E34682"/>
    <w:rsid w:val="00E34DF2"/>
    <w:rsid w:val="00E37180"/>
    <w:rsid w:val="00E377C9"/>
    <w:rsid w:val="00E41C54"/>
    <w:rsid w:val="00E43A30"/>
    <w:rsid w:val="00E43C52"/>
    <w:rsid w:val="00E45015"/>
    <w:rsid w:val="00E45F2C"/>
    <w:rsid w:val="00E46C50"/>
    <w:rsid w:val="00E46E3A"/>
    <w:rsid w:val="00E4721F"/>
    <w:rsid w:val="00E4763E"/>
    <w:rsid w:val="00E518EA"/>
    <w:rsid w:val="00E54234"/>
    <w:rsid w:val="00E54656"/>
    <w:rsid w:val="00E546AC"/>
    <w:rsid w:val="00E560AB"/>
    <w:rsid w:val="00E5709E"/>
    <w:rsid w:val="00E57808"/>
    <w:rsid w:val="00E5783D"/>
    <w:rsid w:val="00E57A4F"/>
    <w:rsid w:val="00E57DCE"/>
    <w:rsid w:val="00E60B0F"/>
    <w:rsid w:val="00E6108A"/>
    <w:rsid w:val="00E611E4"/>
    <w:rsid w:val="00E612DA"/>
    <w:rsid w:val="00E62A94"/>
    <w:rsid w:val="00E63D21"/>
    <w:rsid w:val="00E63E4A"/>
    <w:rsid w:val="00E64DD4"/>
    <w:rsid w:val="00E64E09"/>
    <w:rsid w:val="00E65A81"/>
    <w:rsid w:val="00E65A9D"/>
    <w:rsid w:val="00E6623A"/>
    <w:rsid w:val="00E66DA9"/>
    <w:rsid w:val="00E679F8"/>
    <w:rsid w:val="00E67BE8"/>
    <w:rsid w:val="00E70BCC"/>
    <w:rsid w:val="00E71607"/>
    <w:rsid w:val="00E71707"/>
    <w:rsid w:val="00E71C72"/>
    <w:rsid w:val="00E71D10"/>
    <w:rsid w:val="00E72383"/>
    <w:rsid w:val="00E72499"/>
    <w:rsid w:val="00E727D9"/>
    <w:rsid w:val="00E73297"/>
    <w:rsid w:val="00E73943"/>
    <w:rsid w:val="00E7417E"/>
    <w:rsid w:val="00E76C0A"/>
    <w:rsid w:val="00E77A70"/>
    <w:rsid w:val="00E810F6"/>
    <w:rsid w:val="00E82137"/>
    <w:rsid w:val="00E82C67"/>
    <w:rsid w:val="00E82E23"/>
    <w:rsid w:val="00E83CEA"/>
    <w:rsid w:val="00E85547"/>
    <w:rsid w:val="00E8646F"/>
    <w:rsid w:val="00E87286"/>
    <w:rsid w:val="00E879B3"/>
    <w:rsid w:val="00E90571"/>
    <w:rsid w:val="00E90ACE"/>
    <w:rsid w:val="00E91350"/>
    <w:rsid w:val="00E92CA7"/>
    <w:rsid w:val="00E92D10"/>
    <w:rsid w:val="00E92D2E"/>
    <w:rsid w:val="00E931B0"/>
    <w:rsid w:val="00E931CA"/>
    <w:rsid w:val="00E95185"/>
    <w:rsid w:val="00E96209"/>
    <w:rsid w:val="00E966FA"/>
    <w:rsid w:val="00E96AAB"/>
    <w:rsid w:val="00E97154"/>
    <w:rsid w:val="00E97ADC"/>
    <w:rsid w:val="00EA001E"/>
    <w:rsid w:val="00EA0348"/>
    <w:rsid w:val="00EA03B1"/>
    <w:rsid w:val="00EA061C"/>
    <w:rsid w:val="00EA0DC6"/>
    <w:rsid w:val="00EA31B3"/>
    <w:rsid w:val="00EA3495"/>
    <w:rsid w:val="00EA3D42"/>
    <w:rsid w:val="00EA4C98"/>
    <w:rsid w:val="00EA506A"/>
    <w:rsid w:val="00EA586C"/>
    <w:rsid w:val="00EA7C40"/>
    <w:rsid w:val="00EB0A26"/>
    <w:rsid w:val="00EB0AF0"/>
    <w:rsid w:val="00EB146F"/>
    <w:rsid w:val="00EB2902"/>
    <w:rsid w:val="00EB2F59"/>
    <w:rsid w:val="00EB34AE"/>
    <w:rsid w:val="00EB5962"/>
    <w:rsid w:val="00EB6956"/>
    <w:rsid w:val="00EB7D9C"/>
    <w:rsid w:val="00EC3440"/>
    <w:rsid w:val="00EC43B2"/>
    <w:rsid w:val="00EC538F"/>
    <w:rsid w:val="00EC6962"/>
    <w:rsid w:val="00EC6FAD"/>
    <w:rsid w:val="00EC74D4"/>
    <w:rsid w:val="00ED1029"/>
    <w:rsid w:val="00ED10F4"/>
    <w:rsid w:val="00ED144C"/>
    <w:rsid w:val="00ED1811"/>
    <w:rsid w:val="00ED1DC8"/>
    <w:rsid w:val="00ED2666"/>
    <w:rsid w:val="00ED2A3F"/>
    <w:rsid w:val="00ED37A9"/>
    <w:rsid w:val="00ED3B6D"/>
    <w:rsid w:val="00ED453F"/>
    <w:rsid w:val="00ED4E76"/>
    <w:rsid w:val="00ED5D08"/>
    <w:rsid w:val="00EE08A8"/>
    <w:rsid w:val="00EE24E8"/>
    <w:rsid w:val="00EE36D6"/>
    <w:rsid w:val="00EE3CD7"/>
    <w:rsid w:val="00EE4850"/>
    <w:rsid w:val="00EE68C6"/>
    <w:rsid w:val="00EE763D"/>
    <w:rsid w:val="00EF1032"/>
    <w:rsid w:val="00EF1DB7"/>
    <w:rsid w:val="00EF214F"/>
    <w:rsid w:val="00EF22E3"/>
    <w:rsid w:val="00EF3FB7"/>
    <w:rsid w:val="00EF41D3"/>
    <w:rsid w:val="00EF46E0"/>
    <w:rsid w:val="00EF495B"/>
    <w:rsid w:val="00EF4961"/>
    <w:rsid w:val="00EF50DE"/>
    <w:rsid w:val="00EF6F8E"/>
    <w:rsid w:val="00EF7387"/>
    <w:rsid w:val="00EF74D3"/>
    <w:rsid w:val="00EF7902"/>
    <w:rsid w:val="00F00519"/>
    <w:rsid w:val="00F015CF"/>
    <w:rsid w:val="00F02C2B"/>
    <w:rsid w:val="00F03CD6"/>
    <w:rsid w:val="00F05F09"/>
    <w:rsid w:val="00F0630F"/>
    <w:rsid w:val="00F06653"/>
    <w:rsid w:val="00F0719A"/>
    <w:rsid w:val="00F07415"/>
    <w:rsid w:val="00F12146"/>
    <w:rsid w:val="00F13047"/>
    <w:rsid w:val="00F13694"/>
    <w:rsid w:val="00F13B2E"/>
    <w:rsid w:val="00F13CA6"/>
    <w:rsid w:val="00F14DC6"/>
    <w:rsid w:val="00F152CD"/>
    <w:rsid w:val="00F1556F"/>
    <w:rsid w:val="00F17234"/>
    <w:rsid w:val="00F17E6B"/>
    <w:rsid w:val="00F2137E"/>
    <w:rsid w:val="00F213B7"/>
    <w:rsid w:val="00F226A9"/>
    <w:rsid w:val="00F2313E"/>
    <w:rsid w:val="00F239AA"/>
    <w:rsid w:val="00F239CE"/>
    <w:rsid w:val="00F23A87"/>
    <w:rsid w:val="00F24CFD"/>
    <w:rsid w:val="00F24FF7"/>
    <w:rsid w:val="00F26649"/>
    <w:rsid w:val="00F2724B"/>
    <w:rsid w:val="00F27382"/>
    <w:rsid w:val="00F3118C"/>
    <w:rsid w:val="00F32B4B"/>
    <w:rsid w:val="00F3367B"/>
    <w:rsid w:val="00F33F2B"/>
    <w:rsid w:val="00F3503C"/>
    <w:rsid w:val="00F3565A"/>
    <w:rsid w:val="00F35689"/>
    <w:rsid w:val="00F35905"/>
    <w:rsid w:val="00F35AE8"/>
    <w:rsid w:val="00F35EAF"/>
    <w:rsid w:val="00F3772D"/>
    <w:rsid w:val="00F40CB9"/>
    <w:rsid w:val="00F42359"/>
    <w:rsid w:val="00F45652"/>
    <w:rsid w:val="00F45EB2"/>
    <w:rsid w:val="00F469E5"/>
    <w:rsid w:val="00F46C84"/>
    <w:rsid w:val="00F51D03"/>
    <w:rsid w:val="00F53130"/>
    <w:rsid w:val="00F53ACD"/>
    <w:rsid w:val="00F5440D"/>
    <w:rsid w:val="00F562EE"/>
    <w:rsid w:val="00F5710C"/>
    <w:rsid w:val="00F57415"/>
    <w:rsid w:val="00F57571"/>
    <w:rsid w:val="00F607FD"/>
    <w:rsid w:val="00F6198B"/>
    <w:rsid w:val="00F63214"/>
    <w:rsid w:val="00F63691"/>
    <w:rsid w:val="00F64B38"/>
    <w:rsid w:val="00F65760"/>
    <w:rsid w:val="00F66452"/>
    <w:rsid w:val="00F702CD"/>
    <w:rsid w:val="00F70C10"/>
    <w:rsid w:val="00F70C9C"/>
    <w:rsid w:val="00F72C75"/>
    <w:rsid w:val="00F72E6B"/>
    <w:rsid w:val="00F74489"/>
    <w:rsid w:val="00F74536"/>
    <w:rsid w:val="00F747D9"/>
    <w:rsid w:val="00F74E2E"/>
    <w:rsid w:val="00F75158"/>
    <w:rsid w:val="00F75785"/>
    <w:rsid w:val="00F757CC"/>
    <w:rsid w:val="00F76449"/>
    <w:rsid w:val="00F7723A"/>
    <w:rsid w:val="00F7728F"/>
    <w:rsid w:val="00F7745F"/>
    <w:rsid w:val="00F77B97"/>
    <w:rsid w:val="00F77E67"/>
    <w:rsid w:val="00F80C7F"/>
    <w:rsid w:val="00F81041"/>
    <w:rsid w:val="00F817F9"/>
    <w:rsid w:val="00F827B0"/>
    <w:rsid w:val="00F82C08"/>
    <w:rsid w:val="00F83387"/>
    <w:rsid w:val="00F839BE"/>
    <w:rsid w:val="00F83BF7"/>
    <w:rsid w:val="00F84333"/>
    <w:rsid w:val="00F84ABD"/>
    <w:rsid w:val="00F84CEE"/>
    <w:rsid w:val="00F84E99"/>
    <w:rsid w:val="00F853AE"/>
    <w:rsid w:val="00F86229"/>
    <w:rsid w:val="00F8731A"/>
    <w:rsid w:val="00F87D73"/>
    <w:rsid w:val="00F91B01"/>
    <w:rsid w:val="00F91EF0"/>
    <w:rsid w:val="00F91F62"/>
    <w:rsid w:val="00F925B2"/>
    <w:rsid w:val="00F92D70"/>
    <w:rsid w:val="00F92E67"/>
    <w:rsid w:val="00F93218"/>
    <w:rsid w:val="00F9328A"/>
    <w:rsid w:val="00F93487"/>
    <w:rsid w:val="00F94625"/>
    <w:rsid w:val="00F964E0"/>
    <w:rsid w:val="00F967CA"/>
    <w:rsid w:val="00FA0CA4"/>
    <w:rsid w:val="00FA27B7"/>
    <w:rsid w:val="00FA29C3"/>
    <w:rsid w:val="00FA2B9A"/>
    <w:rsid w:val="00FA3F09"/>
    <w:rsid w:val="00FA4358"/>
    <w:rsid w:val="00FA447C"/>
    <w:rsid w:val="00FA4AA1"/>
    <w:rsid w:val="00FA7422"/>
    <w:rsid w:val="00FA7AF6"/>
    <w:rsid w:val="00FA7E41"/>
    <w:rsid w:val="00FB0A83"/>
    <w:rsid w:val="00FB0E1F"/>
    <w:rsid w:val="00FB0FD5"/>
    <w:rsid w:val="00FB1F0E"/>
    <w:rsid w:val="00FB1F68"/>
    <w:rsid w:val="00FB3944"/>
    <w:rsid w:val="00FB5940"/>
    <w:rsid w:val="00FC0103"/>
    <w:rsid w:val="00FC01DA"/>
    <w:rsid w:val="00FC0E88"/>
    <w:rsid w:val="00FC1C37"/>
    <w:rsid w:val="00FC30CF"/>
    <w:rsid w:val="00FC33B1"/>
    <w:rsid w:val="00FC3422"/>
    <w:rsid w:val="00FC45CB"/>
    <w:rsid w:val="00FC5334"/>
    <w:rsid w:val="00FC5875"/>
    <w:rsid w:val="00FC6056"/>
    <w:rsid w:val="00FC782B"/>
    <w:rsid w:val="00FC78D9"/>
    <w:rsid w:val="00FC7A73"/>
    <w:rsid w:val="00FC7EFF"/>
    <w:rsid w:val="00FD2D4A"/>
    <w:rsid w:val="00FD2DB6"/>
    <w:rsid w:val="00FD4E24"/>
    <w:rsid w:val="00FD7B91"/>
    <w:rsid w:val="00FD7ED0"/>
    <w:rsid w:val="00FE0689"/>
    <w:rsid w:val="00FE0692"/>
    <w:rsid w:val="00FE3B30"/>
    <w:rsid w:val="00FE4CDD"/>
    <w:rsid w:val="00FE61F0"/>
    <w:rsid w:val="00FE62DF"/>
    <w:rsid w:val="00FE6E00"/>
    <w:rsid w:val="00FE6F75"/>
    <w:rsid w:val="00FE73FB"/>
    <w:rsid w:val="00FE75DE"/>
    <w:rsid w:val="00FF0151"/>
    <w:rsid w:val="00FF121A"/>
    <w:rsid w:val="00FF3728"/>
    <w:rsid w:val="00FF627A"/>
    <w:rsid w:val="00FF6DED"/>
    <w:rsid w:val="0C5957D2"/>
    <w:rsid w:val="26CE496C"/>
    <w:rsid w:val="3D780DF1"/>
    <w:rsid w:val="44463F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DD8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ind w:left="720" w:hanging="630"/>
      <w:jc w:val="center"/>
      <w:outlineLvl w:val="0"/>
    </w:pPr>
    <w:rPr>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outlineLvl w:val="2"/>
    </w:pPr>
    <w:rPr>
      <w:b/>
      <w:sz w:val="18"/>
    </w:rPr>
  </w:style>
  <w:style w:type="paragraph" w:styleId="Heading4">
    <w:name w:val="heading 4"/>
    <w:basedOn w:val="Normal"/>
    <w:next w:val="Normal"/>
    <w:qFormat/>
    <w:pPr>
      <w:keepNext/>
      <w:jc w:val="center"/>
      <w:outlineLvl w:val="3"/>
    </w:pPr>
    <w:rPr>
      <w:sz w:val="24"/>
    </w:rPr>
  </w:style>
  <w:style w:type="paragraph" w:styleId="Heading5">
    <w:name w:val="heading 5"/>
    <w:basedOn w:val="Normal"/>
    <w:next w:val="Normal"/>
    <w:qFormat/>
    <w:pPr>
      <w:keepNext/>
      <w:jc w:val="right"/>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BodyTextIndent">
    <w:name w:val="Body Text Indent"/>
    <w:basedOn w:val="Normal"/>
    <w:pPr>
      <w:ind w:left="720" w:hanging="630"/>
    </w:pPr>
    <w:rPr>
      <w:sz w:val="24"/>
    </w:rPr>
  </w:style>
  <w:style w:type="paragraph" w:styleId="BodyTextIndent2">
    <w:name w:val="Body Text Indent 2"/>
    <w:basedOn w:val="Normal"/>
    <w:pPr>
      <w:ind w:left="90"/>
    </w:pPr>
    <w:rPr>
      <w:sz w:val="24"/>
    </w:rPr>
  </w:style>
  <w:style w:type="paragraph" w:customStyle="1" w:styleId="CompanyName">
    <w:name w:val="Company Name"/>
    <w:basedOn w:val="Normal"/>
    <w:pPr>
      <w:framePr w:w="3845" w:h="1584" w:hSpace="187" w:vSpace="187" w:wrap="notBeside" w:vAnchor="page" w:hAnchor="margin" w:y="894" w:anchorLock="1"/>
      <w:spacing w:line="280" w:lineRule="atLeast"/>
      <w:jc w:val="both"/>
    </w:pPr>
    <w:rPr>
      <w:rFonts w:ascii="Arial Black" w:hAnsi="Arial Black"/>
      <w:spacing w:val="-25"/>
      <w:sz w:val="32"/>
    </w:rPr>
  </w:style>
  <w:style w:type="paragraph" w:styleId="Date">
    <w:name w:val="Date"/>
    <w:basedOn w:val="Normal"/>
    <w:next w:val="InsideAddressName"/>
    <w:pPr>
      <w:spacing w:after="220" w:line="220" w:lineRule="atLeast"/>
      <w:jc w:val="both"/>
    </w:pPr>
    <w:rPr>
      <w:rFonts w:ascii="Arial" w:hAnsi="Arial"/>
      <w:spacing w:val="-5"/>
    </w:rPr>
  </w:style>
  <w:style w:type="paragraph" w:customStyle="1" w:styleId="InsideAddressName">
    <w:name w:val="Inside Address Name"/>
    <w:basedOn w:val="Normal"/>
    <w:next w:val="Normal"/>
    <w:pPr>
      <w:spacing w:before="220" w:line="220" w:lineRule="atLeast"/>
      <w:jc w:val="both"/>
    </w:pPr>
    <w:rPr>
      <w:rFonts w:ascii="Arial" w:hAnsi="Arial"/>
      <w:spacing w:val="-5"/>
    </w:r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pPr>
    <w:rPr>
      <w:rFonts w:ascii="Arial" w:hAnsi="Arial"/>
      <w:sz w:val="14"/>
    </w:rPr>
  </w:style>
  <w:style w:type="paragraph" w:customStyle="1" w:styleId="SignatureJobTitle">
    <w:name w:val="Signature Job Title"/>
    <w:basedOn w:val="Signature"/>
    <w:next w:val="Normal"/>
    <w:pPr>
      <w:keepNext/>
      <w:spacing w:line="220" w:lineRule="atLeast"/>
      <w:ind w:left="0"/>
    </w:pPr>
    <w:rPr>
      <w:rFonts w:ascii="Arial" w:hAnsi="Arial"/>
      <w:spacing w:val="-5"/>
    </w:rPr>
  </w:style>
  <w:style w:type="paragraph" w:styleId="Signature">
    <w:name w:val="Signature"/>
    <w:basedOn w:val="Normal"/>
    <w:pPr>
      <w:ind w:left="4320"/>
    </w:p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FollowedHyperlink">
    <w:name w:val="FollowedHyperlink"/>
    <w:rPr>
      <w:color w:val="800080"/>
      <w:u w:val="single"/>
    </w:rPr>
  </w:style>
  <w:style w:type="paragraph" w:styleId="Salutation">
    <w:name w:val="Salutation"/>
    <w:basedOn w:val="Normal"/>
    <w:next w:val="Normal"/>
    <w:pPr>
      <w:spacing w:before="220" w:after="220" w:line="220" w:lineRule="atLeast"/>
    </w:pPr>
    <w:rPr>
      <w:rFonts w:ascii="Arial" w:hAnsi="Arial"/>
      <w:spacing w:val="-5"/>
    </w:rPr>
  </w:style>
  <w:style w:type="paragraph" w:styleId="Closing">
    <w:name w:val="Closing"/>
    <w:basedOn w:val="Normal"/>
    <w:next w:val="Signature"/>
    <w:pPr>
      <w:keepNext/>
      <w:spacing w:after="60" w:line="220" w:lineRule="atLeast"/>
      <w:jc w:val="both"/>
    </w:pPr>
    <w:rPr>
      <w:rFonts w:ascii="Arial" w:hAnsi="Arial"/>
      <w:spacing w:val="-5"/>
    </w:rPr>
  </w:style>
  <w:style w:type="paragraph" w:customStyle="1" w:styleId="CcList">
    <w:name w:val="Cc List"/>
    <w:basedOn w:val="Normal"/>
    <w:pPr>
      <w:keepLines/>
      <w:spacing w:line="220" w:lineRule="atLeast"/>
      <w:ind w:left="360" w:hanging="360"/>
      <w:jc w:val="both"/>
    </w:pPr>
    <w:rPr>
      <w:rFonts w:ascii="Arial" w:hAnsi="Arial"/>
      <w:spacing w:val="-5"/>
    </w:rPr>
  </w:style>
  <w:style w:type="character" w:customStyle="1" w:styleId="FooterChar">
    <w:name w:val="Footer Char"/>
    <w:link w:val="Footer"/>
    <w:uiPriority w:val="99"/>
    <w:rsid w:val="008F3EBF"/>
  </w:style>
  <w:style w:type="character" w:styleId="UnresolvedMention">
    <w:name w:val="Unresolved Mention"/>
    <w:uiPriority w:val="99"/>
    <w:semiHidden/>
    <w:unhideWhenUsed/>
    <w:rsid w:val="00110F69"/>
    <w:rPr>
      <w:color w:val="605E5C"/>
      <w:shd w:val="clear" w:color="auto" w:fill="E1DFDD"/>
    </w:rPr>
  </w:style>
  <w:style w:type="paragraph" w:styleId="ListParagraph">
    <w:name w:val="List Paragraph"/>
    <w:basedOn w:val="Normal"/>
    <w:link w:val="ListParagraphChar"/>
    <w:uiPriority w:val="34"/>
    <w:qFormat/>
    <w:rsid w:val="006E41CA"/>
    <w:pPr>
      <w:spacing w:after="160" w:line="259" w:lineRule="auto"/>
      <w:ind w:left="720"/>
      <w:contextualSpacing/>
    </w:pPr>
    <w:rPr>
      <w:rFonts w:ascii="Aptos" w:eastAsia="Aptos" w:hAnsi="Aptos"/>
      <w:kern w:val="2"/>
      <w:sz w:val="22"/>
      <w:szCs w:val="22"/>
    </w:rPr>
  </w:style>
  <w:style w:type="paragraph" w:customStyle="1" w:styleId="AccessibleHeader">
    <w:name w:val="Accessible Header"/>
    <w:basedOn w:val="Heading1"/>
    <w:link w:val="AccessibleHeaderChar"/>
    <w:qFormat/>
    <w:rsid w:val="006E41CA"/>
    <w:pPr>
      <w:keepLines/>
      <w:numPr>
        <w:numId w:val="16"/>
      </w:numPr>
      <w:spacing w:before="240" w:after="240" w:line="259" w:lineRule="auto"/>
      <w:jc w:val="left"/>
    </w:pPr>
    <w:rPr>
      <w:rFonts w:ascii="Arial" w:hAnsi="Arial" w:cs="Arial"/>
      <w:b/>
      <w:bCs/>
      <w:kern w:val="2"/>
      <w:sz w:val="28"/>
      <w:szCs w:val="28"/>
    </w:rPr>
  </w:style>
  <w:style w:type="character" w:customStyle="1" w:styleId="ListParagraphChar">
    <w:name w:val="List Paragraph Char"/>
    <w:link w:val="ListParagraph"/>
    <w:uiPriority w:val="34"/>
    <w:rsid w:val="006E41CA"/>
    <w:rPr>
      <w:rFonts w:ascii="Aptos" w:eastAsia="Aptos" w:hAnsi="Aptos"/>
      <w:kern w:val="2"/>
      <w:sz w:val="22"/>
      <w:szCs w:val="22"/>
    </w:rPr>
  </w:style>
  <w:style w:type="character" w:customStyle="1" w:styleId="AccessibleHeaderChar">
    <w:name w:val="Accessible Header Char"/>
    <w:link w:val="AccessibleHeader"/>
    <w:rsid w:val="006E41CA"/>
    <w:rPr>
      <w:rFonts w:ascii="Arial" w:hAnsi="Arial" w:cs="Arial"/>
      <w:b/>
      <w:bCs/>
      <w:kern w:val="2"/>
      <w:sz w:val="28"/>
      <w:szCs w:val="28"/>
    </w:rPr>
  </w:style>
  <w:style w:type="character" w:styleId="CommentReference">
    <w:name w:val="annotation reference"/>
    <w:uiPriority w:val="99"/>
    <w:unhideWhenUsed/>
    <w:rsid w:val="006E41CA"/>
    <w:rPr>
      <w:sz w:val="16"/>
      <w:szCs w:val="16"/>
    </w:rPr>
  </w:style>
  <w:style w:type="paragraph" w:styleId="CommentText">
    <w:name w:val="annotation text"/>
    <w:basedOn w:val="Normal"/>
    <w:link w:val="CommentTextChar"/>
    <w:uiPriority w:val="99"/>
    <w:unhideWhenUsed/>
    <w:rsid w:val="006E41CA"/>
    <w:pPr>
      <w:spacing w:after="160"/>
    </w:pPr>
    <w:rPr>
      <w:rFonts w:ascii="Aptos" w:eastAsia="Aptos" w:hAnsi="Aptos"/>
      <w:kern w:val="2"/>
    </w:rPr>
  </w:style>
  <w:style w:type="character" w:customStyle="1" w:styleId="CommentTextChar">
    <w:name w:val="Comment Text Char"/>
    <w:link w:val="CommentText"/>
    <w:uiPriority w:val="99"/>
    <w:rsid w:val="006E41CA"/>
    <w:rPr>
      <w:rFonts w:ascii="Aptos" w:eastAsia="Aptos" w:hAnsi="Aptos"/>
      <w:kern w:val="2"/>
    </w:rPr>
  </w:style>
  <w:style w:type="paragraph" w:styleId="CommentSubject">
    <w:name w:val="annotation subject"/>
    <w:basedOn w:val="CommentText"/>
    <w:next w:val="CommentText"/>
    <w:link w:val="CommentSubjectChar"/>
    <w:rsid w:val="00DF1DD2"/>
    <w:pPr>
      <w:spacing w:after="0"/>
    </w:pPr>
    <w:rPr>
      <w:rFonts w:ascii="Times New Roman" w:eastAsia="Times New Roman" w:hAnsi="Times New Roman"/>
      <w:b/>
      <w:bCs/>
      <w:kern w:val="0"/>
    </w:rPr>
  </w:style>
  <w:style w:type="character" w:customStyle="1" w:styleId="CommentSubjectChar">
    <w:name w:val="Comment Subject Char"/>
    <w:link w:val="CommentSubject"/>
    <w:rsid w:val="00DF1DD2"/>
    <w:rPr>
      <w:rFonts w:ascii="Aptos" w:eastAsia="Aptos" w:hAnsi="Aptos"/>
      <w:b/>
      <w:bCs/>
      <w:kern w:val="2"/>
    </w:rPr>
  </w:style>
  <w:style w:type="paragraph" w:styleId="Revision">
    <w:name w:val="Revision"/>
    <w:hidden/>
    <w:uiPriority w:val="99"/>
    <w:semiHidden/>
    <w:rsid w:val="00793154"/>
  </w:style>
  <w:style w:type="numbering" w:customStyle="1" w:styleId="LIST1">
    <w:name w:val="LIST1"/>
    <w:basedOn w:val="NoList"/>
    <w:uiPriority w:val="99"/>
    <w:rsid w:val="00FC0E88"/>
    <w:pPr>
      <w:numPr>
        <w:numId w:val="24"/>
      </w:numPr>
    </w:pPr>
  </w:style>
  <w:style w:type="character" w:customStyle="1" w:styleId="cf01">
    <w:name w:val="cf01"/>
    <w:rsid w:val="00A06D85"/>
    <w:rPr>
      <w:rFonts w:ascii="Segoe UI" w:hAnsi="Segoe UI" w:cs="Segoe UI" w:hint="default"/>
      <w:sz w:val="18"/>
      <w:szCs w:val="18"/>
    </w:rPr>
  </w:style>
  <w:style w:type="character" w:styleId="Mention">
    <w:name w:val="Mention"/>
    <w:basedOn w:val="DefaultParagraphFont"/>
    <w:uiPriority w:val="99"/>
    <w:unhideWhenUsed/>
    <w:rsid w:val="00893817"/>
    <w:rPr>
      <w:color w:val="2B579A"/>
      <w:shd w:val="clear" w:color="auto" w:fill="E1DFDD"/>
    </w:rPr>
  </w:style>
  <w:style w:type="paragraph" w:styleId="FootnoteText">
    <w:name w:val="footnote text"/>
    <w:basedOn w:val="Normal"/>
    <w:link w:val="FootnoteTextChar"/>
    <w:rsid w:val="00ED2A3F"/>
  </w:style>
  <w:style w:type="character" w:customStyle="1" w:styleId="FootnoteTextChar">
    <w:name w:val="Footnote Text Char"/>
    <w:basedOn w:val="DefaultParagraphFont"/>
    <w:link w:val="FootnoteText"/>
    <w:rsid w:val="00ED2A3F"/>
  </w:style>
  <w:style w:type="character" w:styleId="FootnoteReference">
    <w:name w:val="footnote reference"/>
    <w:uiPriority w:val="99"/>
    <w:unhideWhenUsed/>
    <w:rsid w:val="00ED2A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09159">
      <w:bodyDiv w:val="1"/>
      <w:marLeft w:val="0"/>
      <w:marRight w:val="0"/>
      <w:marTop w:val="0"/>
      <w:marBottom w:val="0"/>
      <w:divBdr>
        <w:top w:val="none" w:sz="0" w:space="0" w:color="auto"/>
        <w:left w:val="none" w:sz="0" w:space="0" w:color="auto"/>
        <w:bottom w:val="none" w:sz="0" w:space="0" w:color="auto"/>
        <w:right w:val="none" w:sz="0" w:space="0" w:color="auto"/>
      </w:divBdr>
    </w:div>
    <w:div w:id="1376660914">
      <w:bodyDiv w:val="1"/>
      <w:marLeft w:val="0"/>
      <w:marRight w:val="0"/>
      <w:marTop w:val="0"/>
      <w:marBottom w:val="0"/>
      <w:divBdr>
        <w:top w:val="none" w:sz="0" w:space="0" w:color="auto"/>
        <w:left w:val="none" w:sz="0" w:space="0" w:color="auto"/>
        <w:bottom w:val="none" w:sz="0" w:space="0" w:color="auto"/>
        <w:right w:val="none" w:sz="0" w:space="0" w:color="auto"/>
      </w:divBdr>
    </w:div>
    <w:div w:id="1441875059">
      <w:bodyDiv w:val="1"/>
      <w:marLeft w:val="0"/>
      <w:marRight w:val="0"/>
      <w:marTop w:val="0"/>
      <w:marBottom w:val="0"/>
      <w:divBdr>
        <w:top w:val="none" w:sz="0" w:space="0" w:color="auto"/>
        <w:left w:val="none" w:sz="0" w:space="0" w:color="auto"/>
        <w:bottom w:val="none" w:sz="0" w:space="0" w:color="auto"/>
        <w:right w:val="none" w:sz="0" w:space="0" w:color="auto"/>
      </w:divBdr>
    </w:div>
    <w:div w:id="1746220326">
      <w:bodyDiv w:val="1"/>
      <w:marLeft w:val="0"/>
      <w:marRight w:val="0"/>
      <w:marTop w:val="0"/>
      <w:marBottom w:val="0"/>
      <w:divBdr>
        <w:top w:val="none" w:sz="0" w:space="0" w:color="auto"/>
        <w:left w:val="none" w:sz="0" w:space="0" w:color="auto"/>
        <w:bottom w:val="none" w:sz="0" w:space="0" w:color="auto"/>
        <w:right w:val="none" w:sz="0" w:space="0" w:color="auto"/>
      </w:divBdr>
    </w:div>
    <w:div w:id="1891065012">
      <w:bodyDiv w:val="1"/>
      <w:marLeft w:val="0"/>
      <w:marRight w:val="0"/>
      <w:marTop w:val="0"/>
      <w:marBottom w:val="0"/>
      <w:divBdr>
        <w:top w:val="none" w:sz="0" w:space="0" w:color="auto"/>
        <w:left w:val="none" w:sz="0" w:space="0" w:color="auto"/>
        <w:bottom w:val="none" w:sz="0" w:space="0" w:color="auto"/>
        <w:right w:val="none" w:sz="0" w:space="0" w:color="auto"/>
      </w:divBdr>
    </w:div>
    <w:div w:id="199749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cadmhc.sharepoint.com/sites/Teams-OPM-ANRTA/Shared%20Documents/General/APA%20Exempt%20Regulation/APA%20Materials%20-%20RY%202025%20(ANR)/Group%201/APL%20Documents_for_Review_%20Group%201/Downloads/www.DMHC.ca.gov"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DMHC.ca.gov" TargetMode="External"/><Relationship Id="rId2" Type="http://schemas.openxmlformats.org/officeDocument/2006/relationships/hyperlink" Target="http://www.DMHC.c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B995CC4A3BADF4BB9BFA2A897695107" ma:contentTypeVersion="16" ma:contentTypeDescription="Create a new document." ma:contentTypeScope="" ma:versionID="391083e0371ff436f97ba8adfb3503a2">
  <xsd:schema xmlns:xsd="http://www.w3.org/2001/XMLSchema" xmlns:xs="http://www.w3.org/2001/XMLSchema" xmlns:p="http://schemas.microsoft.com/office/2006/metadata/properties" xmlns:ns2="0441d56f-6ca1-4d16-908f-d9eaae11fece" xmlns:ns3="db4b35ea-5a1b-4390-964d-1c6847989529" targetNamespace="http://schemas.microsoft.com/office/2006/metadata/properties" ma:root="true" ma:fieldsID="99bfe3ae71560300c1a59cdf1cef68c0" ns2:_="" ns3:_="">
    <xsd:import namespace="0441d56f-6ca1-4d16-908f-d9eaae11fece"/>
    <xsd:import namespace="db4b35ea-5a1b-4390-964d-1c68479895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Greg" minOccurs="0"/>
                <xsd:element ref="ns2: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1d56f-6ca1-4d16-908f-d9eaae11fe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7a7694-2423-4a22-81d2-6e29e7334ee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Greg" ma:index="22" nillable="true" ma:displayName="Greg" ma:default="1" ma:description="Completed Report Form Skeletal Structure" ma:format="Dropdown" ma:internalName="Greg">
      <xsd:simpleType>
        <xsd:restriction base="dms:Boolean"/>
      </xsd:simpleType>
    </xsd:element>
    <xsd:element name="Completed" ma:index="23" nillable="true" ma:displayName="Completed" ma:default="0" ma:description="Completed Report Form Skeletal Structure" ma:format="Dropdown" ma:internalName="Comple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b4b35ea-5a1b-4390-964d-1c68479895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9548a70-57a6-4ca8-87c6-837256f976be}" ma:internalName="TaxCatchAll" ma:showField="CatchAllData" ma:web="db4b35ea-5a1b-4390-964d-1c68479895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41d56f-6ca1-4d16-908f-d9eaae11fece">
      <Terms xmlns="http://schemas.microsoft.com/office/infopath/2007/PartnerControls"/>
    </lcf76f155ced4ddcb4097134ff3c332f>
    <TaxCatchAll xmlns="db4b35ea-5a1b-4390-964d-1c6847989529" xsi:nil="true"/>
    <Greg xmlns="0441d56f-6ca1-4d16-908f-d9eaae11fece">true</Greg>
    <Completed xmlns="0441d56f-6ca1-4d16-908f-d9eaae11fece">false</Completed>
    <SharedWithUsers xmlns="db4b35ea-5a1b-4390-964d-1c6847989529">
      <UserInfo>
        <DisplayName>Ortiz, Sara@DMHC</DisplayName>
        <AccountId>39</AccountId>
        <AccountType/>
      </UserInfo>
      <UserInfo>
        <DisplayName>Sahay, Ekta@DMHC</DisplayName>
        <AccountId>65</AccountId>
        <AccountType/>
      </UserInfo>
      <UserInfo>
        <DisplayName>Holguin, Raquel@DMHC</DisplayName>
        <AccountId>993</AccountId>
        <AccountType/>
      </UserInfo>
    </SharedWithUser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ADDC30D-8CFD-45E1-8139-1D5973872549}">
  <ds:schemaRefs>
    <ds:schemaRef ds:uri="http://schemas.microsoft.com/sharepoint/v3/contenttype/forms"/>
  </ds:schemaRefs>
</ds:datastoreItem>
</file>

<file path=customXml/itemProps2.xml><?xml version="1.0" encoding="utf-8"?>
<ds:datastoreItem xmlns:ds="http://schemas.openxmlformats.org/officeDocument/2006/customXml" ds:itemID="{40C44991-6D10-4218-A8EB-1B975B55AC90}">
  <ds:schemaRefs>
    <ds:schemaRef ds:uri="http://schemas.openxmlformats.org/officeDocument/2006/bibliography"/>
  </ds:schemaRefs>
</ds:datastoreItem>
</file>

<file path=customXml/itemProps3.xml><?xml version="1.0" encoding="utf-8"?>
<ds:datastoreItem xmlns:ds="http://schemas.openxmlformats.org/officeDocument/2006/customXml" ds:itemID="{9633779D-1C5F-4536-BC7A-ED45CCE29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1d56f-6ca1-4d16-908f-d9eaae11fece"/>
    <ds:schemaRef ds:uri="db4b35ea-5a1b-4390-964d-1c6847989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237CB6-30D8-4C3C-8862-19F4638CAAF6}">
  <ds:schemaRefs>
    <ds:schemaRef ds:uri="http://purl.org/dc/elements/1.1/"/>
    <ds:schemaRef ds:uri="0441d56f-6ca1-4d16-908f-d9eaae11fece"/>
    <ds:schemaRef ds:uri="http://www.w3.org/XML/1998/namespac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db4b35ea-5a1b-4390-964d-1c6847989529"/>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E043D1C3-E4D7-475E-91FD-F527A5AF5D0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6530</Words>
  <Characters>37227</Characters>
  <Application>Microsoft Office Word</Application>
  <DocSecurity>12</DocSecurity>
  <Lines>310</Lines>
  <Paragraphs>87</Paragraphs>
  <ScaleCrop>false</ScaleCrop>
  <HeadingPairs>
    <vt:vector size="2" baseType="variant">
      <vt:variant>
        <vt:lpstr>Title</vt:lpstr>
      </vt:variant>
      <vt:variant>
        <vt:i4>1</vt:i4>
      </vt:variant>
    </vt:vector>
  </HeadingPairs>
  <TitlesOfParts>
    <vt:vector size="1" baseType="lpstr">
      <vt:lpstr>Frequently Asked Questions (FAQ)_APL_SB 225_RY2026</vt:lpstr>
    </vt:vector>
  </TitlesOfParts>
  <Company/>
  <LinksUpToDate>false</LinksUpToDate>
  <CharactersWithSpaces>43670</CharactersWithSpaces>
  <SharedDoc>false</SharedDoc>
  <HLinks>
    <vt:vector size="12" baseType="variant">
      <vt:variant>
        <vt:i4>3342416</vt:i4>
      </vt:variant>
      <vt:variant>
        <vt:i4>6</vt:i4>
      </vt:variant>
      <vt:variant>
        <vt:i4>0</vt:i4>
      </vt:variant>
      <vt:variant>
        <vt:i4>5</vt:i4>
      </vt:variant>
      <vt:variant>
        <vt:lpwstr>https://cadmhc.sharepoint.com/sites/Teams-OPM-ANRTA/Shared Documents/General/APA Exempt Regulation/APA Materials - RY 2025 (ANR)/Group 1/APL Documents_for_Review_ Group 1/Downloads/www.DMHC.ca.gov</vt:lpwstr>
      </vt:variant>
      <vt:variant>
        <vt:lpwstr/>
      </vt:variant>
      <vt:variant>
        <vt:i4>7929980</vt:i4>
      </vt:variant>
      <vt:variant>
        <vt:i4>0</vt:i4>
      </vt:variant>
      <vt:variant>
        <vt:i4>0</vt:i4>
      </vt:variant>
      <vt:variant>
        <vt:i4>5</vt:i4>
      </vt:variant>
      <vt:variant>
        <vt:lpwstr>http://www.dmhc.ca.gov/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(FAQ)_APL_SB 225_RY2026</dc:title>
  <dc:subject/>
  <dc:creator/>
  <cp:keywords/>
  <cp:lastModifiedBy/>
  <cp:revision>1</cp:revision>
  <dcterms:created xsi:type="dcterms:W3CDTF">2025-11-25T22:01:00Z</dcterms:created>
  <dcterms:modified xsi:type="dcterms:W3CDTF">2025-12-10T21:43:00Z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0x010100FB995CC4A3BADF4BB9BFA2A897695107</vt:lpwstr>
  </property>
</Properties>
</file>