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D526F" w14:textId="77777777" w:rsidR="004F6CD8" w:rsidRDefault="004F6CD8" w:rsidP="00152F5D">
      <w:pPr>
        <w:pStyle w:val="Date"/>
        <w:tabs>
          <w:tab w:val="left" w:pos="2250"/>
        </w:tabs>
        <w:spacing w:before="1320" w:after="480" w:line="240" w:lineRule="auto"/>
        <w:jc w:val="left"/>
        <w:rPr>
          <w:rFonts w:cs="Arial"/>
        </w:rPr>
      </w:pPr>
    </w:p>
    <w:p w14:paraId="1AC04D82" w14:textId="77777777" w:rsidR="006E41CA" w:rsidRPr="0004245C" w:rsidRDefault="006E41CA" w:rsidP="004C5813">
      <w:pPr>
        <w:pStyle w:val="Heading1"/>
      </w:pPr>
      <w:r w:rsidRPr="0004245C">
        <w:t>Frequently Asked Questions</w:t>
      </w:r>
    </w:p>
    <w:p w14:paraId="5E6A3E41" w14:textId="365898BD" w:rsidR="006E41CA" w:rsidRDefault="006E41CA" w:rsidP="00B54DDF">
      <w:pPr>
        <w:spacing w:after="240" w:line="259" w:lineRule="auto"/>
        <w:rPr>
          <w:rFonts w:ascii="Arial" w:hAnsi="Arial" w:cs="Arial"/>
          <w:szCs w:val="24"/>
        </w:rPr>
      </w:pPr>
      <w:r w:rsidRPr="00307373">
        <w:rPr>
          <w:rFonts w:ascii="Arial" w:hAnsi="Arial" w:cs="Arial"/>
          <w:szCs w:val="24"/>
        </w:rPr>
        <w:t xml:space="preserve">The Department of Managed Health Care (DMHC) has prepared frequently asked questions (FAQ) </w:t>
      </w:r>
      <w:r>
        <w:rPr>
          <w:rFonts w:ascii="Arial" w:hAnsi="Arial" w:cs="Arial"/>
          <w:szCs w:val="24"/>
        </w:rPr>
        <w:t xml:space="preserve">and responses </w:t>
      </w:r>
      <w:r w:rsidRPr="00FC3D50">
        <w:rPr>
          <w:rFonts w:ascii="Arial" w:hAnsi="Arial" w:cs="Arial"/>
          <w:szCs w:val="24"/>
        </w:rPr>
        <w:t xml:space="preserve">arising from stakeholder comments, and pertinent to the amendments to </w:t>
      </w:r>
      <w:r w:rsidR="00136F3F">
        <w:rPr>
          <w:rFonts w:ascii="Arial" w:hAnsi="Arial" w:cs="Arial"/>
          <w:szCs w:val="24"/>
        </w:rPr>
        <w:t>28 CCR §</w:t>
      </w:r>
      <w:r w:rsidRPr="00FC3D50">
        <w:rPr>
          <w:rFonts w:ascii="Arial" w:hAnsi="Arial" w:cs="Arial"/>
          <w:szCs w:val="24"/>
        </w:rPr>
        <w:t xml:space="preserve"> 1300.67.2 and </w:t>
      </w:r>
      <w:r w:rsidR="00136F3F">
        <w:rPr>
          <w:rFonts w:ascii="Arial" w:hAnsi="Arial" w:cs="Arial"/>
          <w:szCs w:val="24"/>
        </w:rPr>
        <w:t>i</w:t>
      </w:r>
      <w:r w:rsidRPr="00FC3D50">
        <w:rPr>
          <w:rFonts w:ascii="Arial" w:hAnsi="Arial" w:cs="Arial"/>
          <w:szCs w:val="24"/>
        </w:rPr>
        <w:t xml:space="preserve">ncorporated </w:t>
      </w:r>
      <w:r w:rsidR="00136F3F">
        <w:rPr>
          <w:rFonts w:ascii="Arial" w:hAnsi="Arial" w:cs="Arial"/>
          <w:szCs w:val="24"/>
        </w:rPr>
        <w:t>d</w:t>
      </w:r>
      <w:r w:rsidRPr="00FC3D50">
        <w:rPr>
          <w:rFonts w:ascii="Arial" w:hAnsi="Arial" w:cs="Arial"/>
          <w:szCs w:val="24"/>
        </w:rPr>
        <w:t>ocuments, as noticed in APL 2</w:t>
      </w:r>
      <w:r>
        <w:rPr>
          <w:rFonts w:ascii="Arial" w:hAnsi="Arial" w:cs="Arial"/>
          <w:szCs w:val="24"/>
        </w:rPr>
        <w:t>4</w:t>
      </w:r>
      <w:r w:rsidRPr="009F4B7F">
        <w:rPr>
          <w:rFonts w:ascii="Arial" w:hAnsi="Arial" w:cs="Arial"/>
          <w:szCs w:val="24"/>
        </w:rPr>
        <w:t>-</w:t>
      </w:r>
      <w:r w:rsidR="00AF2D14">
        <w:rPr>
          <w:rFonts w:ascii="Arial" w:hAnsi="Arial" w:cs="Arial"/>
          <w:szCs w:val="24"/>
        </w:rPr>
        <w:t>021</w:t>
      </w:r>
      <w:r w:rsidR="002F61AF" w:rsidRPr="009F4B7F">
        <w:rPr>
          <w:rFonts w:ascii="Arial" w:hAnsi="Arial" w:cs="Arial"/>
          <w:szCs w:val="24"/>
        </w:rPr>
        <w:t xml:space="preserve"> (</w:t>
      </w:r>
      <w:r w:rsidR="00A65773">
        <w:rPr>
          <w:rFonts w:ascii="Arial" w:hAnsi="Arial" w:cs="Arial"/>
          <w:szCs w:val="24"/>
        </w:rPr>
        <w:t>December 12</w:t>
      </w:r>
      <w:r w:rsidR="002F61AF">
        <w:rPr>
          <w:rFonts w:ascii="Arial" w:hAnsi="Arial" w:cs="Arial"/>
          <w:szCs w:val="24"/>
        </w:rPr>
        <w:t>, 2024)</w:t>
      </w:r>
      <w:r w:rsidR="00173C50">
        <w:rPr>
          <w:rFonts w:ascii="Arial" w:hAnsi="Arial" w:cs="Arial"/>
          <w:szCs w:val="24"/>
        </w:rPr>
        <w:t>.</w:t>
      </w:r>
      <w:r w:rsidR="00136F3F">
        <w:rPr>
          <w:rStyle w:val="FootnoteReference"/>
          <w:rFonts w:ascii="Arial" w:hAnsi="Arial" w:cs="Arial"/>
          <w:szCs w:val="24"/>
        </w:rPr>
        <w:footnoteReference w:id="2"/>
      </w:r>
      <w:r w:rsidR="00173C50">
        <w:rPr>
          <w:rFonts w:ascii="Arial" w:hAnsi="Arial" w:cs="Arial"/>
          <w:szCs w:val="24"/>
        </w:rPr>
        <w:t xml:space="preserve"> This includes</w:t>
      </w:r>
      <w:r w:rsidR="00585CC6">
        <w:rPr>
          <w:rFonts w:ascii="Arial" w:hAnsi="Arial" w:cs="Arial"/>
          <w:szCs w:val="24"/>
        </w:rPr>
        <w:t xml:space="preserve"> Amendments to</w:t>
      </w:r>
      <w:r w:rsidR="00136F3F">
        <w:rPr>
          <w:rFonts w:ascii="Arial" w:hAnsi="Arial" w:cs="Arial"/>
          <w:szCs w:val="24"/>
        </w:rPr>
        <w:t xml:space="preserve"> Rule </w:t>
      </w:r>
      <w:r w:rsidR="00585CC6">
        <w:rPr>
          <w:rFonts w:ascii="Arial" w:hAnsi="Arial" w:cs="Arial"/>
          <w:szCs w:val="24"/>
        </w:rPr>
        <w:t xml:space="preserve">1300.67.2 </w:t>
      </w:r>
      <w:r w:rsidR="00585CC6" w:rsidRPr="00D80720">
        <w:rPr>
          <w:rFonts w:ascii="Arial" w:hAnsi="Arial" w:cs="Arial"/>
          <w:szCs w:val="24"/>
        </w:rPr>
        <w:t xml:space="preserve">and the </w:t>
      </w:r>
      <w:r w:rsidR="00136F3F">
        <w:rPr>
          <w:rFonts w:ascii="Arial" w:hAnsi="Arial" w:cs="Arial"/>
          <w:szCs w:val="24"/>
        </w:rPr>
        <w:t>i</w:t>
      </w:r>
      <w:r w:rsidR="00585CC6" w:rsidRPr="00D80720">
        <w:rPr>
          <w:rFonts w:ascii="Arial" w:hAnsi="Arial" w:cs="Arial"/>
          <w:szCs w:val="24"/>
        </w:rPr>
        <w:t xml:space="preserve">ncorporated </w:t>
      </w:r>
      <w:r w:rsidR="00A65773">
        <w:rPr>
          <w:rFonts w:ascii="Arial" w:hAnsi="Arial" w:cs="Arial"/>
          <w:szCs w:val="24"/>
        </w:rPr>
        <w:t xml:space="preserve">network adequacy standards and methodologies for </w:t>
      </w:r>
      <w:r w:rsidR="00585CC6" w:rsidRPr="00D80720">
        <w:rPr>
          <w:rFonts w:ascii="Arial" w:hAnsi="Arial" w:cs="Arial"/>
          <w:szCs w:val="24"/>
        </w:rPr>
        <w:t xml:space="preserve">Reporting Year </w:t>
      </w:r>
      <w:r w:rsidR="00136F3F">
        <w:rPr>
          <w:rFonts w:ascii="Arial" w:hAnsi="Arial" w:cs="Arial"/>
          <w:szCs w:val="24"/>
        </w:rPr>
        <w:t xml:space="preserve">(RY) </w:t>
      </w:r>
      <w:r w:rsidR="00585CC6" w:rsidRPr="00D80720">
        <w:rPr>
          <w:rFonts w:ascii="Arial" w:hAnsi="Arial" w:cs="Arial"/>
          <w:szCs w:val="24"/>
        </w:rPr>
        <w:t>2025</w:t>
      </w:r>
      <w:r w:rsidRPr="00585CC6">
        <w:rPr>
          <w:rFonts w:ascii="Arial" w:hAnsi="Arial" w:cs="Arial"/>
          <w:szCs w:val="24"/>
        </w:rPr>
        <w:t>.</w:t>
      </w:r>
    </w:p>
    <w:p w14:paraId="2CE32F23" w14:textId="41696023" w:rsidR="005C227C" w:rsidRPr="00484B23" w:rsidRDefault="00136118" w:rsidP="00B54DDF">
      <w:pPr>
        <w:pStyle w:val="Heading2"/>
      </w:pPr>
      <w:r w:rsidRPr="00484B23">
        <w:t>General FAQ Responses</w:t>
      </w:r>
      <w:r w:rsidR="003B6072" w:rsidRPr="00484B23">
        <w:t xml:space="preserve"> – Updates to Rule 1300.67.2</w:t>
      </w:r>
    </w:p>
    <w:p w14:paraId="22941E4B" w14:textId="77777777" w:rsidR="000B4F24" w:rsidRPr="00136F3F" w:rsidRDefault="000B4F24" w:rsidP="000B4F24">
      <w:pPr>
        <w:pStyle w:val="ListParagraph"/>
        <w:numPr>
          <w:ilvl w:val="0"/>
          <w:numId w:val="33"/>
        </w:numPr>
        <w:spacing w:after="240"/>
        <w:contextualSpacing w:val="0"/>
        <w:rPr>
          <w:rFonts w:ascii="Arial" w:hAnsi="Arial" w:cs="Arial"/>
          <w:sz w:val="24"/>
          <w:szCs w:val="24"/>
        </w:rPr>
      </w:pPr>
      <w:r w:rsidRPr="00136F3F">
        <w:rPr>
          <w:rFonts w:ascii="Arial" w:hAnsi="Arial" w:cs="Arial"/>
          <w:b/>
          <w:bCs/>
          <w:sz w:val="24"/>
          <w:szCs w:val="24"/>
        </w:rPr>
        <w:t>Why is the DMHC updating its Annual Network Reporting materials and network adequacy standards on an annual basis?</w:t>
      </w:r>
    </w:p>
    <w:p w14:paraId="275AEF26" w14:textId="77777777" w:rsidR="000B4F24" w:rsidRPr="000B4F24" w:rsidRDefault="000B4F24" w:rsidP="000B4F24">
      <w:pPr>
        <w:pStyle w:val="ListParagraph"/>
        <w:spacing w:after="240"/>
        <w:contextualSpacing w:val="0"/>
        <w:rPr>
          <w:rFonts w:ascii="Arial" w:hAnsi="Arial" w:cs="Arial"/>
          <w:sz w:val="24"/>
          <w:szCs w:val="24"/>
        </w:rPr>
      </w:pPr>
      <w:r w:rsidRPr="00AE43E9">
        <w:rPr>
          <w:rFonts w:ascii="Arial" w:hAnsi="Arial" w:cs="Arial"/>
          <w:sz w:val="24"/>
          <w:szCs w:val="24"/>
        </w:rPr>
        <w:t xml:space="preserve">DMHC is updating network adequacy standards on an annual basis under exemptions to the </w:t>
      </w:r>
      <w:r w:rsidR="00136F3F">
        <w:rPr>
          <w:rFonts w:ascii="Arial" w:hAnsi="Arial" w:cs="Arial"/>
          <w:sz w:val="24"/>
          <w:szCs w:val="24"/>
        </w:rPr>
        <w:t>A</w:t>
      </w:r>
      <w:r w:rsidRPr="00AE43E9">
        <w:rPr>
          <w:rFonts w:ascii="Arial" w:hAnsi="Arial" w:cs="Arial"/>
          <w:sz w:val="24"/>
          <w:szCs w:val="24"/>
        </w:rPr>
        <w:t xml:space="preserve">dministrative </w:t>
      </w:r>
      <w:r w:rsidR="00136F3F">
        <w:rPr>
          <w:rFonts w:ascii="Arial" w:hAnsi="Arial" w:cs="Arial"/>
          <w:sz w:val="24"/>
          <w:szCs w:val="24"/>
        </w:rPr>
        <w:t>P</w:t>
      </w:r>
      <w:r w:rsidRPr="00AE43E9">
        <w:rPr>
          <w:rFonts w:ascii="Arial" w:hAnsi="Arial" w:cs="Arial"/>
          <w:sz w:val="24"/>
          <w:szCs w:val="24"/>
        </w:rPr>
        <w:t xml:space="preserve">rocedures </w:t>
      </w:r>
      <w:r w:rsidR="00136F3F">
        <w:rPr>
          <w:rFonts w:ascii="Arial" w:hAnsi="Arial" w:cs="Arial"/>
          <w:sz w:val="24"/>
          <w:szCs w:val="24"/>
        </w:rPr>
        <w:t>A</w:t>
      </w:r>
      <w:r w:rsidRPr="00AE43E9">
        <w:rPr>
          <w:rFonts w:ascii="Arial" w:hAnsi="Arial" w:cs="Arial"/>
          <w:sz w:val="24"/>
          <w:szCs w:val="24"/>
        </w:rPr>
        <w:t xml:space="preserve">ct (APA) set forth in </w:t>
      </w:r>
      <w:r w:rsidR="00136F3F">
        <w:rPr>
          <w:rFonts w:ascii="Arial" w:hAnsi="Arial" w:cs="Arial"/>
          <w:sz w:val="24"/>
          <w:szCs w:val="24"/>
        </w:rPr>
        <w:t>Health and Safety Code s</w:t>
      </w:r>
      <w:r w:rsidRPr="00AE43E9">
        <w:rPr>
          <w:rFonts w:ascii="Arial" w:hAnsi="Arial" w:cs="Arial"/>
          <w:sz w:val="24"/>
          <w:szCs w:val="24"/>
        </w:rPr>
        <w:t>ection</w:t>
      </w:r>
      <w:r w:rsidR="00136F3F">
        <w:rPr>
          <w:rFonts w:ascii="Arial" w:hAnsi="Arial" w:cs="Arial"/>
          <w:sz w:val="24"/>
          <w:szCs w:val="24"/>
        </w:rPr>
        <w:t>s</w:t>
      </w:r>
      <w:r w:rsidRPr="00AE43E9">
        <w:rPr>
          <w:rFonts w:ascii="Arial" w:hAnsi="Arial" w:cs="Arial"/>
          <w:sz w:val="24"/>
          <w:szCs w:val="24"/>
        </w:rPr>
        <w:t xml:space="preserve"> 1367.03(f)(3) and (5). The rollout of reporting requirements and network adequacy standards</w:t>
      </w:r>
      <w:r w:rsidR="00665DF3">
        <w:rPr>
          <w:rFonts w:ascii="Arial" w:hAnsi="Arial" w:cs="Arial"/>
          <w:sz w:val="24"/>
          <w:szCs w:val="24"/>
        </w:rPr>
        <w:t xml:space="preserve"> is on a staggered timetable</w:t>
      </w:r>
      <w:r w:rsidRPr="00AE43E9">
        <w:rPr>
          <w:rFonts w:ascii="Arial" w:hAnsi="Arial" w:cs="Arial"/>
          <w:sz w:val="24"/>
          <w:szCs w:val="24"/>
        </w:rPr>
        <w:t xml:space="preserve">, to provide time for health </w:t>
      </w:r>
      <w:r w:rsidR="00852861">
        <w:rPr>
          <w:rFonts w:ascii="Arial" w:hAnsi="Arial" w:cs="Arial"/>
          <w:sz w:val="24"/>
          <w:szCs w:val="24"/>
        </w:rPr>
        <w:t xml:space="preserve">care service </w:t>
      </w:r>
      <w:r w:rsidRPr="00AE43E9">
        <w:rPr>
          <w:rFonts w:ascii="Arial" w:hAnsi="Arial" w:cs="Arial"/>
          <w:sz w:val="24"/>
          <w:szCs w:val="24"/>
        </w:rPr>
        <w:t xml:space="preserve">plans </w:t>
      </w:r>
      <w:r w:rsidR="00852861">
        <w:rPr>
          <w:rFonts w:ascii="Arial" w:hAnsi="Arial" w:cs="Arial"/>
          <w:sz w:val="24"/>
          <w:szCs w:val="24"/>
        </w:rPr>
        <w:t xml:space="preserve">(plans) </w:t>
      </w:r>
      <w:r w:rsidRPr="00AE43E9">
        <w:rPr>
          <w:rFonts w:ascii="Arial" w:hAnsi="Arial" w:cs="Arial"/>
          <w:sz w:val="24"/>
          <w:szCs w:val="24"/>
        </w:rPr>
        <w:t>to implement the standards, and for the DMHC to test the standards and adjust if necessary.</w:t>
      </w:r>
    </w:p>
    <w:p w14:paraId="66955EB7" w14:textId="77777777" w:rsidR="002F3426" w:rsidRPr="00136F3F" w:rsidRDefault="002F3426" w:rsidP="00DF06EA">
      <w:pPr>
        <w:numPr>
          <w:ilvl w:val="0"/>
          <w:numId w:val="33"/>
        </w:numPr>
        <w:spacing w:after="240"/>
        <w:rPr>
          <w:rFonts w:ascii="Arial" w:hAnsi="Arial" w:cs="Arial"/>
          <w:b/>
          <w:bCs/>
          <w:szCs w:val="24"/>
        </w:rPr>
      </w:pPr>
      <w:r w:rsidRPr="00136F3F">
        <w:rPr>
          <w:rFonts w:ascii="Arial" w:hAnsi="Arial" w:cs="Arial"/>
          <w:b/>
          <w:bCs/>
          <w:szCs w:val="24"/>
        </w:rPr>
        <w:t xml:space="preserve">Within the network adequacy standards and methodology documents, the DMHC references </w:t>
      </w:r>
      <w:r w:rsidR="00DB08FB" w:rsidRPr="00136F3F">
        <w:rPr>
          <w:rFonts w:ascii="Arial" w:hAnsi="Arial" w:cs="Arial"/>
          <w:b/>
          <w:bCs/>
          <w:szCs w:val="24"/>
        </w:rPr>
        <w:t xml:space="preserve">network adequacy </w:t>
      </w:r>
      <w:r w:rsidRPr="00136F3F">
        <w:rPr>
          <w:rFonts w:ascii="Arial" w:hAnsi="Arial" w:cs="Arial"/>
          <w:b/>
          <w:bCs/>
          <w:szCs w:val="24"/>
        </w:rPr>
        <w:t xml:space="preserve">definitions in Rule 1300.67.2.2(b). Could the </w:t>
      </w:r>
      <w:r w:rsidR="00F3690C" w:rsidRPr="00136F3F">
        <w:rPr>
          <w:rFonts w:ascii="Arial" w:hAnsi="Arial" w:cs="Arial"/>
          <w:b/>
          <w:bCs/>
          <w:szCs w:val="24"/>
        </w:rPr>
        <w:t>documents</w:t>
      </w:r>
      <w:r w:rsidRPr="00136F3F">
        <w:rPr>
          <w:rFonts w:ascii="Arial" w:hAnsi="Arial" w:cs="Arial"/>
          <w:b/>
          <w:bCs/>
          <w:szCs w:val="24"/>
        </w:rPr>
        <w:t xml:space="preserve"> repeat these definitions in full, within each of the standards and methodology documents?</w:t>
      </w:r>
    </w:p>
    <w:p w14:paraId="0B5F917D" w14:textId="05842F84" w:rsidR="002F3426" w:rsidRDefault="002F3426" w:rsidP="006713AE">
      <w:pPr>
        <w:spacing w:after="240"/>
        <w:ind w:left="720"/>
        <w:rPr>
          <w:rFonts w:ascii="Arial" w:hAnsi="Arial" w:cs="Arial"/>
          <w:szCs w:val="24"/>
        </w:rPr>
      </w:pPr>
      <w:r w:rsidRPr="004933DE">
        <w:rPr>
          <w:rFonts w:ascii="Arial" w:hAnsi="Arial" w:cs="Arial"/>
          <w:szCs w:val="24"/>
        </w:rPr>
        <w:t>Defined terms are subject to amendment throughout the period of the</w:t>
      </w:r>
      <w:r w:rsidR="00136F3F">
        <w:rPr>
          <w:rFonts w:ascii="Arial" w:hAnsi="Arial" w:cs="Arial"/>
          <w:szCs w:val="24"/>
        </w:rPr>
        <w:t xml:space="preserve"> APA</w:t>
      </w:r>
      <w:r w:rsidRPr="004933DE">
        <w:rPr>
          <w:rFonts w:ascii="Arial" w:hAnsi="Arial" w:cs="Arial"/>
          <w:szCs w:val="24"/>
        </w:rPr>
        <w:t xml:space="preserve"> exemption set forth in </w:t>
      </w:r>
      <w:r w:rsidR="00DB08FB">
        <w:rPr>
          <w:rFonts w:ascii="Arial" w:hAnsi="Arial" w:cs="Arial"/>
          <w:szCs w:val="24"/>
        </w:rPr>
        <w:t xml:space="preserve">Health and Safety Code </w:t>
      </w:r>
      <w:r w:rsidRPr="004933DE">
        <w:rPr>
          <w:rFonts w:ascii="Arial" w:hAnsi="Arial" w:cs="Arial"/>
          <w:szCs w:val="24"/>
        </w:rPr>
        <w:t xml:space="preserve">Sections 1367.03(f)(3) and (5). Including defined terms in multiple locations increases the potential for error in amendments and inconsistent regulatory versions. The incorporated network adequacy standards are intended to reference the Rule as the single source for the defined term. The Department will consider creating a resource document </w:t>
      </w:r>
      <w:r w:rsidRPr="004933DE">
        <w:rPr>
          <w:rFonts w:ascii="Arial" w:hAnsi="Arial" w:cs="Arial"/>
          <w:szCs w:val="24"/>
        </w:rPr>
        <w:lastRenderedPageBreak/>
        <w:t>once the APA exemption has expired and the definitions are not subject to APA exempt rulemaking.</w:t>
      </w:r>
    </w:p>
    <w:p w14:paraId="6C5D1750" w14:textId="07767CB6" w:rsidR="00852861" w:rsidRPr="00852861" w:rsidRDefault="006A5E99" w:rsidP="00852861">
      <w:pPr>
        <w:numPr>
          <w:ilvl w:val="0"/>
          <w:numId w:val="33"/>
        </w:numPr>
        <w:spacing w:after="240"/>
        <w:rPr>
          <w:rFonts w:ascii="Arial" w:hAnsi="Arial" w:cs="Arial"/>
          <w:b/>
          <w:bCs/>
          <w:szCs w:val="24"/>
        </w:rPr>
      </w:pPr>
      <w:r w:rsidRPr="00136F3F">
        <w:rPr>
          <w:rFonts w:ascii="Arial" w:hAnsi="Arial" w:cs="Arial"/>
          <w:b/>
          <w:bCs/>
          <w:szCs w:val="24"/>
        </w:rPr>
        <w:t>What happens if a plan is found to not meet the new network adequacy standards incorporated in Rule 1300.67.2 when the DMHC conducts its Annual Network Review?</w:t>
      </w:r>
      <w:r w:rsidR="005103A7" w:rsidRPr="00136F3F">
        <w:rPr>
          <w:rFonts w:ascii="Arial" w:hAnsi="Arial" w:cs="Arial"/>
          <w:b/>
          <w:bCs/>
          <w:szCs w:val="24"/>
        </w:rPr>
        <w:t xml:space="preserve"> Will the DMHC take enforcement action against health plans for failing to meet the</w:t>
      </w:r>
      <w:r w:rsidR="005103A7" w:rsidRPr="00AE43E9">
        <w:rPr>
          <w:rFonts w:ascii="Arial" w:hAnsi="Arial" w:cs="Arial"/>
          <w:b/>
          <w:bCs/>
          <w:szCs w:val="24"/>
        </w:rPr>
        <w:t xml:space="preserve"> RY 2025 network adequacy standards?</w:t>
      </w:r>
    </w:p>
    <w:p w14:paraId="4A544D06" w14:textId="588A28B9" w:rsidR="00103804" w:rsidRDefault="00852861" w:rsidP="00852861">
      <w:pPr>
        <w:spacing w:after="240"/>
        <w:ind w:left="720"/>
        <w:rPr>
          <w:rFonts w:ascii="Arial" w:hAnsi="Arial" w:cs="Arial"/>
          <w:szCs w:val="24"/>
        </w:rPr>
      </w:pPr>
      <w:r>
        <w:rPr>
          <w:rFonts w:ascii="Arial" w:hAnsi="Arial" w:cs="Arial"/>
          <w:szCs w:val="24"/>
        </w:rPr>
        <w:t xml:space="preserve">While the DMHC has the authority to take enforcement action against a plan for failing to </w:t>
      </w:r>
      <w:r w:rsidRPr="00B545E2">
        <w:rPr>
          <w:rFonts w:ascii="Arial" w:hAnsi="Arial" w:cs="Arial"/>
          <w:szCs w:val="24"/>
        </w:rPr>
        <w:t xml:space="preserve">meet the new specialist physician and PCP network adequacy standards introduced </w:t>
      </w:r>
      <w:r w:rsidRPr="009F4B7F">
        <w:rPr>
          <w:rFonts w:ascii="Arial" w:hAnsi="Arial" w:cs="Arial"/>
          <w:szCs w:val="24"/>
        </w:rPr>
        <w:t>in APL 24-</w:t>
      </w:r>
      <w:r w:rsidR="00AF2D14">
        <w:rPr>
          <w:rFonts w:ascii="Arial" w:hAnsi="Arial" w:cs="Arial"/>
          <w:szCs w:val="24"/>
        </w:rPr>
        <w:t>021</w:t>
      </w:r>
      <w:r w:rsidRPr="009F4B7F">
        <w:rPr>
          <w:rFonts w:ascii="Arial" w:hAnsi="Arial" w:cs="Arial"/>
          <w:szCs w:val="24"/>
        </w:rPr>
        <w:t>, th</w:t>
      </w:r>
      <w:r w:rsidRPr="00B545E2">
        <w:rPr>
          <w:rFonts w:ascii="Arial" w:hAnsi="Arial" w:cs="Arial"/>
          <w:szCs w:val="24"/>
        </w:rPr>
        <w:t xml:space="preserve">e DMHC does not intend to immediately refer networks to the Office of Enforcement for failure to meet new standards in RY 2025. </w:t>
      </w:r>
      <w:r w:rsidR="006A5E99" w:rsidRPr="00B545E2">
        <w:rPr>
          <w:rFonts w:ascii="Arial" w:hAnsi="Arial" w:cs="Arial"/>
          <w:szCs w:val="24"/>
        </w:rPr>
        <w:t xml:space="preserve">If a plan’s network is not meeting </w:t>
      </w:r>
      <w:r w:rsidR="005C319F" w:rsidRPr="00B545E2">
        <w:rPr>
          <w:rFonts w:ascii="Arial" w:hAnsi="Arial" w:cs="Arial"/>
          <w:szCs w:val="24"/>
        </w:rPr>
        <w:t xml:space="preserve">a new </w:t>
      </w:r>
      <w:r w:rsidR="006A5E99" w:rsidRPr="00B545E2">
        <w:rPr>
          <w:rFonts w:ascii="Arial" w:hAnsi="Arial" w:cs="Arial"/>
          <w:szCs w:val="24"/>
        </w:rPr>
        <w:t xml:space="preserve">standard in one or more counties within the network service area, the plan will be informed of the findings and may be required to submit a corrective action plan or otherwise demonstrate that its network has providers in sufficient numbers and locations to ensure accessibility of services as required under the Knox- Keene Act and implementing regulations. </w:t>
      </w:r>
      <w:r w:rsidRPr="00B545E2">
        <w:rPr>
          <w:rFonts w:ascii="Arial" w:hAnsi="Arial" w:cs="Arial"/>
          <w:szCs w:val="24"/>
        </w:rPr>
        <w:t xml:space="preserve">In subsequent reporting years, the DMHC may also rely upon the new standards and methodologies noticed in APL </w:t>
      </w:r>
      <w:r w:rsidRPr="009F4B7F">
        <w:rPr>
          <w:rFonts w:ascii="Arial" w:hAnsi="Arial" w:cs="Arial"/>
          <w:szCs w:val="24"/>
        </w:rPr>
        <w:t>24-</w:t>
      </w:r>
      <w:r w:rsidR="00AF2D14">
        <w:rPr>
          <w:rFonts w:ascii="Arial" w:hAnsi="Arial" w:cs="Arial"/>
          <w:szCs w:val="24"/>
        </w:rPr>
        <w:t>021</w:t>
      </w:r>
      <w:r w:rsidRPr="009F4B7F">
        <w:rPr>
          <w:rFonts w:ascii="Arial" w:hAnsi="Arial" w:cs="Arial"/>
          <w:szCs w:val="24"/>
        </w:rPr>
        <w:t xml:space="preserve"> a</w:t>
      </w:r>
      <w:r w:rsidRPr="00B545E2">
        <w:rPr>
          <w:rFonts w:ascii="Arial" w:hAnsi="Arial" w:cs="Arial"/>
          <w:szCs w:val="24"/>
        </w:rPr>
        <w:t>s a</w:t>
      </w:r>
      <w:r w:rsidRPr="00822123">
        <w:rPr>
          <w:rFonts w:ascii="Arial" w:hAnsi="Arial" w:cs="Arial"/>
          <w:szCs w:val="24"/>
        </w:rPr>
        <w:t xml:space="preserve"> basis for carrying out and completing enforcement action</w:t>
      </w:r>
    </w:p>
    <w:p w14:paraId="1F1BCDDA" w14:textId="77777777" w:rsidR="006A5E99" w:rsidRPr="002F3426" w:rsidRDefault="005C319F" w:rsidP="006713AE">
      <w:pPr>
        <w:spacing w:after="240"/>
        <w:ind w:left="720"/>
        <w:rPr>
          <w:rFonts w:ascii="Arial" w:hAnsi="Arial" w:cs="Arial"/>
          <w:szCs w:val="24"/>
        </w:rPr>
      </w:pPr>
      <w:r w:rsidRPr="00822123">
        <w:rPr>
          <w:rFonts w:ascii="Arial" w:hAnsi="Arial" w:cs="Arial"/>
          <w:szCs w:val="24"/>
        </w:rPr>
        <w:t xml:space="preserve">The </w:t>
      </w:r>
      <w:r>
        <w:rPr>
          <w:rFonts w:ascii="Arial" w:hAnsi="Arial" w:cs="Arial"/>
          <w:szCs w:val="24"/>
        </w:rPr>
        <w:t>mental health network adequacy standards, including Mental Health Geographic Access Standards and Methodology, Counseling MHP Ratio Standards and Methodology, and Counseling MHP Accepting New Patients Standards and Methodology were</w:t>
      </w:r>
      <w:r w:rsidRPr="00822123">
        <w:rPr>
          <w:rFonts w:ascii="Arial" w:hAnsi="Arial" w:cs="Arial"/>
          <w:szCs w:val="24"/>
        </w:rPr>
        <w:t xml:space="preserve"> released </w:t>
      </w:r>
      <w:r>
        <w:rPr>
          <w:rFonts w:ascii="Arial" w:hAnsi="Arial" w:cs="Arial"/>
          <w:szCs w:val="24"/>
        </w:rPr>
        <w:t>in previous years and are issued with amendments for RY 2025.</w:t>
      </w:r>
      <w:r w:rsidRPr="00822123">
        <w:rPr>
          <w:rFonts w:ascii="Arial" w:hAnsi="Arial" w:cs="Arial"/>
          <w:szCs w:val="24"/>
        </w:rPr>
        <w:t xml:space="preserve"> In addition to requiring a corrective action plan, for RY 202</w:t>
      </w:r>
      <w:r>
        <w:rPr>
          <w:rFonts w:ascii="Arial" w:hAnsi="Arial" w:cs="Arial"/>
          <w:szCs w:val="24"/>
        </w:rPr>
        <w:t>5</w:t>
      </w:r>
      <w:r w:rsidRPr="00822123">
        <w:rPr>
          <w:rFonts w:ascii="Arial" w:hAnsi="Arial" w:cs="Arial"/>
          <w:szCs w:val="24"/>
        </w:rPr>
        <w:t xml:space="preserve"> the DMHC may rely on th</w:t>
      </w:r>
      <w:r>
        <w:rPr>
          <w:rFonts w:ascii="Arial" w:hAnsi="Arial" w:cs="Arial"/>
          <w:szCs w:val="24"/>
        </w:rPr>
        <w:t>ese</w:t>
      </w:r>
      <w:r w:rsidRPr="00822123">
        <w:rPr>
          <w:rFonts w:ascii="Arial" w:hAnsi="Arial" w:cs="Arial"/>
          <w:szCs w:val="24"/>
        </w:rPr>
        <w:t xml:space="preserve"> standard</w:t>
      </w:r>
      <w:r>
        <w:rPr>
          <w:rFonts w:ascii="Arial" w:hAnsi="Arial" w:cs="Arial"/>
          <w:szCs w:val="24"/>
        </w:rPr>
        <w:t>s</w:t>
      </w:r>
      <w:r w:rsidRPr="00822123">
        <w:rPr>
          <w:rFonts w:ascii="Arial" w:hAnsi="Arial" w:cs="Arial"/>
          <w:szCs w:val="24"/>
        </w:rPr>
        <w:t xml:space="preserve"> as a basis for carrying out and</w:t>
      </w:r>
      <w:r w:rsidRPr="007245D9">
        <w:rPr>
          <w:rFonts w:ascii="Arial" w:hAnsi="Arial" w:cs="Arial"/>
        </w:rPr>
        <w:t xml:space="preserve"> </w:t>
      </w:r>
      <w:r w:rsidRPr="005F4267">
        <w:rPr>
          <w:rFonts w:ascii="Arial" w:hAnsi="Arial" w:cs="Arial"/>
          <w:szCs w:val="24"/>
        </w:rPr>
        <w:t xml:space="preserve">completing enforcement action </w:t>
      </w:r>
      <w:r>
        <w:rPr>
          <w:rFonts w:ascii="Arial" w:hAnsi="Arial" w:cs="Arial"/>
          <w:szCs w:val="24"/>
        </w:rPr>
        <w:t>arising from</w:t>
      </w:r>
      <w:r w:rsidRPr="005F4267">
        <w:rPr>
          <w:rFonts w:ascii="Arial" w:hAnsi="Arial" w:cs="Arial"/>
          <w:szCs w:val="24"/>
        </w:rPr>
        <w:t xml:space="preserve"> the </w:t>
      </w:r>
      <w:r>
        <w:rPr>
          <w:rFonts w:ascii="Arial" w:hAnsi="Arial" w:cs="Arial"/>
          <w:szCs w:val="24"/>
        </w:rPr>
        <w:t>A</w:t>
      </w:r>
      <w:r w:rsidRPr="005F4267">
        <w:rPr>
          <w:rFonts w:ascii="Arial" w:hAnsi="Arial" w:cs="Arial"/>
          <w:szCs w:val="24"/>
        </w:rPr>
        <w:t xml:space="preserve">nnual </w:t>
      </w:r>
      <w:r>
        <w:rPr>
          <w:rFonts w:ascii="Arial" w:hAnsi="Arial" w:cs="Arial"/>
          <w:szCs w:val="24"/>
        </w:rPr>
        <w:t>N</w:t>
      </w:r>
      <w:r w:rsidRPr="005F4267">
        <w:rPr>
          <w:rFonts w:ascii="Arial" w:hAnsi="Arial" w:cs="Arial"/>
          <w:szCs w:val="24"/>
        </w:rPr>
        <w:t xml:space="preserve">etwork </w:t>
      </w:r>
      <w:r>
        <w:rPr>
          <w:rFonts w:ascii="Arial" w:hAnsi="Arial" w:cs="Arial"/>
          <w:szCs w:val="24"/>
        </w:rPr>
        <w:t>R</w:t>
      </w:r>
      <w:r w:rsidRPr="005F4267">
        <w:rPr>
          <w:rFonts w:ascii="Arial" w:hAnsi="Arial" w:cs="Arial"/>
          <w:szCs w:val="24"/>
        </w:rPr>
        <w:t>eview,</w:t>
      </w:r>
      <w:r w:rsidRPr="007245D9">
        <w:rPr>
          <w:rFonts w:ascii="Arial" w:hAnsi="Arial" w:cs="Arial"/>
        </w:rPr>
        <w:t xml:space="preserve"> </w:t>
      </w:r>
      <w:r w:rsidRPr="007245D9">
        <w:rPr>
          <w:rStyle w:val="cf01"/>
          <w:rFonts w:ascii="Arial" w:eastAsia="Aptos" w:hAnsi="Arial" w:cs="Arial"/>
          <w:sz w:val="24"/>
          <w:szCs w:val="24"/>
        </w:rPr>
        <w:t>pursuant to the Administrative Procedures Act exemptions established in Section 1367.03(f)</w:t>
      </w:r>
      <w:r w:rsidRPr="007245D9">
        <w:rPr>
          <w:rFonts w:ascii="Arial" w:hAnsi="Arial" w:cs="Arial"/>
        </w:rPr>
        <w:t>.</w:t>
      </w:r>
      <w:r w:rsidR="00103804">
        <w:rPr>
          <w:rFonts w:ascii="Arial" w:hAnsi="Arial" w:cs="Arial"/>
          <w:szCs w:val="24"/>
        </w:rPr>
        <w:t xml:space="preserve"> Since </w:t>
      </w:r>
      <w:r w:rsidR="00103804" w:rsidRPr="00537C0A">
        <w:rPr>
          <w:rFonts w:ascii="Arial" w:hAnsi="Arial" w:cs="Arial"/>
          <w:szCs w:val="24"/>
        </w:rPr>
        <w:t>RY 2025</w:t>
      </w:r>
      <w:r w:rsidR="00103804">
        <w:rPr>
          <w:rFonts w:ascii="Arial" w:hAnsi="Arial" w:cs="Arial"/>
          <w:szCs w:val="24"/>
        </w:rPr>
        <w:t xml:space="preserve"> will be the first year of review of Medi-Cal networks under the Counseling MHP Ratio Standard and the Counseling MHP Distance Standard,</w:t>
      </w:r>
      <w:r w:rsidR="00103804" w:rsidRPr="00537C0A">
        <w:rPr>
          <w:rFonts w:ascii="Arial" w:hAnsi="Arial" w:cs="Arial"/>
          <w:szCs w:val="24"/>
        </w:rPr>
        <w:t xml:space="preserve"> the DMHC </w:t>
      </w:r>
      <w:r w:rsidR="00103804">
        <w:rPr>
          <w:rFonts w:ascii="Arial" w:hAnsi="Arial" w:cs="Arial"/>
          <w:szCs w:val="24"/>
        </w:rPr>
        <w:t xml:space="preserve">may require a corrective action plan, but will not immediately </w:t>
      </w:r>
      <w:r w:rsidR="00103804" w:rsidRPr="00537C0A">
        <w:rPr>
          <w:rFonts w:ascii="Arial" w:hAnsi="Arial" w:cs="Arial"/>
          <w:szCs w:val="24"/>
        </w:rPr>
        <w:t xml:space="preserve">refer Medi-Cal networks to the Office of Enforcement for failure to meet </w:t>
      </w:r>
      <w:r w:rsidR="00103804">
        <w:rPr>
          <w:rFonts w:ascii="Arial" w:hAnsi="Arial" w:cs="Arial"/>
          <w:szCs w:val="24"/>
        </w:rPr>
        <w:t>these standards.</w:t>
      </w:r>
    </w:p>
    <w:p w14:paraId="08B4E28A" w14:textId="77777777" w:rsidR="00136118" w:rsidRPr="000D48C7" w:rsidRDefault="00136118" w:rsidP="00DF06EA">
      <w:pPr>
        <w:numPr>
          <w:ilvl w:val="0"/>
          <w:numId w:val="33"/>
        </w:numPr>
        <w:spacing w:after="240"/>
        <w:rPr>
          <w:rFonts w:ascii="Arial" w:hAnsi="Arial" w:cs="Arial"/>
          <w:b/>
          <w:bCs/>
          <w:szCs w:val="24"/>
        </w:rPr>
      </w:pPr>
      <w:r w:rsidRPr="000D48C7">
        <w:rPr>
          <w:rFonts w:ascii="Arial" w:hAnsi="Arial" w:cs="Arial"/>
          <w:b/>
          <w:bCs/>
          <w:szCs w:val="24"/>
        </w:rPr>
        <w:t xml:space="preserve">Are plans required to provide </w:t>
      </w:r>
      <w:r w:rsidR="00103804" w:rsidRPr="000D48C7">
        <w:rPr>
          <w:rFonts w:ascii="Arial" w:hAnsi="Arial" w:cs="Arial"/>
          <w:b/>
          <w:bCs/>
          <w:szCs w:val="24"/>
        </w:rPr>
        <w:t xml:space="preserve">each </w:t>
      </w:r>
      <w:r w:rsidRPr="000D48C7">
        <w:rPr>
          <w:rFonts w:ascii="Arial" w:hAnsi="Arial" w:cs="Arial"/>
          <w:b/>
          <w:bCs/>
          <w:szCs w:val="24"/>
        </w:rPr>
        <w:t xml:space="preserve">individual enrollee access to a provider </w:t>
      </w:r>
      <w:r w:rsidR="00103804" w:rsidRPr="000D48C7">
        <w:rPr>
          <w:rFonts w:ascii="Arial" w:hAnsi="Arial" w:cs="Arial"/>
          <w:b/>
          <w:bCs/>
          <w:szCs w:val="24"/>
        </w:rPr>
        <w:t>according to the</w:t>
      </w:r>
      <w:r w:rsidRPr="000D48C7">
        <w:rPr>
          <w:rFonts w:ascii="Arial" w:hAnsi="Arial" w:cs="Arial"/>
          <w:b/>
          <w:bCs/>
          <w:szCs w:val="24"/>
        </w:rPr>
        <w:t xml:space="preserve"> </w:t>
      </w:r>
      <w:r w:rsidR="00103804" w:rsidRPr="000D48C7">
        <w:rPr>
          <w:rFonts w:ascii="Arial" w:hAnsi="Arial" w:cs="Arial"/>
          <w:b/>
          <w:bCs/>
          <w:szCs w:val="24"/>
        </w:rPr>
        <w:t>network adequacy</w:t>
      </w:r>
      <w:r w:rsidRPr="000D48C7">
        <w:rPr>
          <w:rFonts w:ascii="Arial" w:hAnsi="Arial" w:cs="Arial"/>
          <w:b/>
          <w:bCs/>
          <w:szCs w:val="24"/>
        </w:rPr>
        <w:t xml:space="preserve"> standard</w:t>
      </w:r>
      <w:r w:rsidR="00D974CA" w:rsidRPr="000D48C7">
        <w:rPr>
          <w:rFonts w:ascii="Arial" w:hAnsi="Arial" w:cs="Arial"/>
          <w:b/>
          <w:bCs/>
          <w:szCs w:val="24"/>
        </w:rPr>
        <w:t>s</w:t>
      </w:r>
      <w:r w:rsidR="00103804" w:rsidRPr="000D48C7">
        <w:rPr>
          <w:rFonts w:ascii="Arial" w:hAnsi="Arial" w:cs="Arial"/>
          <w:b/>
          <w:bCs/>
          <w:szCs w:val="24"/>
        </w:rPr>
        <w:t xml:space="preserve"> incorporated in Rule 1300.67.2</w:t>
      </w:r>
      <w:r w:rsidRPr="000D48C7">
        <w:rPr>
          <w:rFonts w:ascii="Arial" w:hAnsi="Arial" w:cs="Arial"/>
          <w:b/>
          <w:bCs/>
          <w:szCs w:val="24"/>
        </w:rPr>
        <w:t>?</w:t>
      </w:r>
    </w:p>
    <w:p w14:paraId="1E638068" w14:textId="77777777" w:rsidR="00136118" w:rsidRDefault="00136118" w:rsidP="00103804">
      <w:pPr>
        <w:spacing w:after="240"/>
        <w:ind w:left="720"/>
        <w:rPr>
          <w:rFonts w:ascii="Arial" w:hAnsi="Arial" w:cs="Arial"/>
          <w:szCs w:val="24"/>
        </w:rPr>
      </w:pPr>
      <w:r w:rsidRPr="007261F1">
        <w:rPr>
          <w:rFonts w:ascii="Arial" w:hAnsi="Arial" w:cs="Arial"/>
          <w:szCs w:val="24"/>
        </w:rPr>
        <w:t xml:space="preserve">The Department has amended Rule 1300.67.2 to clarify that plans must </w:t>
      </w:r>
      <w:r w:rsidR="00103804">
        <w:rPr>
          <w:rFonts w:ascii="Arial" w:hAnsi="Arial" w:cs="Arial"/>
          <w:szCs w:val="24"/>
        </w:rPr>
        <w:t xml:space="preserve">make required network provider types </w:t>
      </w:r>
      <w:r w:rsidR="00450FC8">
        <w:rPr>
          <w:rFonts w:ascii="Arial" w:hAnsi="Arial" w:cs="Arial"/>
          <w:szCs w:val="24"/>
        </w:rPr>
        <w:t xml:space="preserve">available </w:t>
      </w:r>
      <w:r w:rsidR="00103804">
        <w:rPr>
          <w:rFonts w:ascii="Arial" w:hAnsi="Arial" w:cs="Arial"/>
          <w:szCs w:val="24"/>
        </w:rPr>
        <w:t xml:space="preserve">to </w:t>
      </w:r>
      <w:r w:rsidR="00A91338">
        <w:rPr>
          <w:rFonts w:ascii="Arial" w:hAnsi="Arial" w:cs="Arial"/>
          <w:szCs w:val="24"/>
        </w:rPr>
        <w:t xml:space="preserve">all </w:t>
      </w:r>
      <w:r w:rsidRPr="007261F1">
        <w:rPr>
          <w:rFonts w:ascii="Arial" w:hAnsi="Arial" w:cs="Arial"/>
          <w:szCs w:val="24"/>
        </w:rPr>
        <w:t>enrollees</w:t>
      </w:r>
      <w:r w:rsidR="00A91338">
        <w:rPr>
          <w:rFonts w:ascii="Arial" w:hAnsi="Arial" w:cs="Arial"/>
          <w:szCs w:val="24"/>
        </w:rPr>
        <w:t xml:space="preserve"> in the network,</w:t>
      </w:r>
      <w:r w:rsidR="00103804">
        <w:rPr>
          <w:rFonts w:ascii="Arial" w:hAnsi="Arial" w:cs="Arial"/>
          <w:szCs w:val="24"/>
        </w:rPr>
        <w:t xml:space="preserve"> and </w:t>
      </w:r>
      <w:r w:rsidR="00450FC8">
        <w:rPr>
          <w:rFonts w:ascii="Arial" w:hAnsi="Arial" w:cs="Arial"/>
          <w:szCs w:val="24"/>
        </w:rPr>
        <w:t xml:space="preserve">where applicable, </w:t>
      </w:r>
      <w:r w:rsidRPr="007261F1">
        <w:rPr>
          <w:rFonts w:ascii="Arial" w:hAnsi="Arial" w:cs="Arial"/>
          <w:szCs w:val="24"/>
        </w:rPr>
        <w:t xml:space="preserve">within the </w:t>
      </w:r>
      <w:r w:rsidR="00450FC8">
        <w:rPr>
          <w:rFonts w:ascii="Arial" w:hAnsi="Arial" w:cs="Arial"/>
          <w:szCs w:val="24"/>
        </w:rPr>
        <w:t xml:space="preserve">network adequacy </w:t>
      </w:r>
      <w:r w:rsidRPr="007261F1">
        <w:rPr>
          <w:rFonts w:ascii="Arial" w:hAnsi="Arial" w:cs="Arial"/>
          <w:szCs w:val="24"/>
        </w:rPr>
        <w:t>standards</w:t>
      </w:r>
      <w:r w:rsidR="00103804">
        <w:rPr>
          <w:rFonts w:ascii="Arial" w:hAnsi="Arial" w:cs="Arial"/>
          <w:szCs w:val="24"/>
        </w:rPr>
        <w:t xml:space="preserve"> set forth in the Rule and incorporated documents. </w:t>
      </w:r>
      <w:r w:rsidR="00A91338" w:rsidRPr="005C227C">
        <w:rPr>
          <w:rFonts w:ascii="Arial" w:hAnsi="Arial" w:cs="Arial"/>
          <w:szCs w:val="24"/>
        </w:rPr>
        <w:t xml:space="preserve">A plan may limit enrollee access to these providers based on the use of Knox-Keene </w:t>
      </w:r>
      <w:r w:rsidR="000D48C7">
        <w:rPr>
          <w:rFonts w:ascii="Arial" w:hAnsi="Arial" w:cs="Arial"/>
          <w:szCs w:val="24"/>
        </w:rPr>
        <w:t xml:space="preserve">Act </w:t>
      </w:r>
      <w:r w:rsidR="00A91338" w:rsidRPr="005C227C">
        <w:rPr>
          <w:rFonts w:ascii="Arial" w:hAnsi="Arial" w:cs="Arial"/>
          <w:szCs w:val="24"/>
        </w:rPr>
        <w:t xml:space="preserve">compliant managed care tools, such as </w:t>
      </w:r>
      <w:r w:rsidR="00A91338" w:rsidRPr="005C227C">
        <w:rPr>
          <w:rFonts w:ascii="Arial" w:hAnsi="Arial" w:cs="Arial"/>
          <w:szCs w:val="24"/>
        </w:rPr>
        <w:lastRenderedPageBreak/>
        <w:t>utilization management systems and prior authorization requirements.</w:t>
      </w:r>
      <w:r w:rsidR="00A91338">
        <w:rPr>
          <w:rFonts w:ascii="Arial" w:hAnsi="Arial" w:cs="Arial"/>
          <w:szCs w:val="24"/>
        </w:rPr>
        <w:t xml:space="preserve"> </w:t>
      </w:r>
      <w:r w:rsidRPr="007261F1">
        <w:rPr>
          <w:rFonts w:ascii="Arial" w:hAnsi="Arial" w:cs="Arial"/>
          <w:szCs w:val="24"/>
        </w:rPr>
        <w:t>Where an enrollee is required to travel beyond the standards set forth in this section</w:t>
      </w:r>
      <w:r w:rsidR="00A91338">
        <w:rPr>
          <w:rFonts w:ascii="Arial" w:hAnsi="Arial" w:cs="Arial"/>
          <w:szCs w:val="24"/>
        </w:rPr>
        <w:t xml:space="preserve"> to obtain medically necessary services</w:t>
      </w:r>
      <w:r w:rsidRPr="007261F1">
        <w:rPr>
          <w:rFonts w:ascii="Arial" w:hAnsi="Arial" w:cs="Arial"/>
          <w:szCs w:val="24"/>
        </w:rPr>
        <w:t>, that service is presumed to be unavailable, as defined in Rule 1300.67.2</w:t>
      </w:r>
      <w:r w:rsidR="00A91338">
        <w:rPr>
          <w:rFonts w:ascii="Arial" w:hAnsi="Arial" w:cs="Arial"/>
          <w:szCs w:val="24"/>
        </w:rPr>
        <w:t>(b)</w:t>
      </w:r>
      <w:r w:rsidRPr="007261F1">
        <w:rPr>
          <w:rFonts w:ascii="Arial" w:hAnsi="Arial" w:cs="Arial"/>
          <w:szCs w:val="24"/>
        </w:rPr>
        <w:t xml:space="preserve">. </w:t>
      </w:r>
      <w:r w:rsidR="00A91338">
        <w:rPr>
          <w:rFonts w:ascii="Arial" w:hAnsi="Arial" w:cs="Arial"/>
          <w:szCs w:val="24"/>
        </w:rPr>
        <w:t>Under</w:t>
      </w:r>
      <w:r w:rsidRPr="007261F1">
        <w:rPr>
          <w:rFonts w:ascii="Arial" w:hAnsi="Arial" w:cs="Arial"/>
          <w:szCs w:val="24"/>
        </w:rPr>
        <w:t xml:space="preserve"> Section 1367.03(a)(7) and Rule 1300.67.2.2(c)(7), when a provider is unavailable the health plan must arrange services with non-network providers.</w:t>
      </w:r>
    </w:p>
    <w:p w14:paraId="6A41D911" w14:textId="77777777" w:rsidR="00BB58BB" w:rsidRPr="000D48C7" w:rsidRDefault="00BB58BB" w:rsidP="00DF06EA">
      <w:pPr>
        <w:numPr>
          <w:ilvl w:val="0"/>
          <w:numId w:val="33"/>
        </w:numPr>
        <w:spacing w:after="240"/>
        <w:rPr>
          <w:rFonts w:ascii="Arial" w:hAnsi="Arial" w:cs="Arial"/>
          <w:b/>
          <w:bCs/>
          <w:szCs w:val="24"/>
        </w:rPr>
      </w:pPr>
      <w:r w:rsidRPr="000D48C7">
        <w:rPr>
          <w:rFonts w:ascii="Arial" w:hAnsi="Arial" w:cs="Arial"/>
          <w:b/>
          <w:bCs/>
          <w:szCs w:val="24"/>
        </w:rPr>
        <w:t>Rule 1300.67.2 (b) requires plans to use network providers to meet all access requirements and network adequacy standards in the Knox Keene Act and Title 28. In an inpatient setting, when the hospital or other facility is the network provider, are health plans required to make individual network providers available at the hospital or other facility?</w:t>
      </w:r>
    </w:p>
    <w:p w14:paraId="7B313F5B" w14:textId="77777777" w:rsidR="00BB58BB" w:rsidRDefault="00BB58BB" w:rsidP="00CE23C3">
      <w:pPr>
        <w:spacing w:after="240"/>
        <w:ind w:left="720"/>
        <w:rPr>
          <w:rFonts w:ascii="Arial" w:hAnsi="Arial" w:cs="Arial"/>
          <w:szCs w:val="24"/>
        </w:rPr>
      </w:pPr>
      <w:r w:rsidRPr="005C227C">
        <w:rPr>
          <w:rFonts w:ascii="Arial" w:hAnsi="Arial" w:cs="Arial"/>
          <w:szCs w:val="24"/>
        </w:rPr>
        <w:t xml:space="preserve">When a hospital or other facility is the network provider, the plan shall also </w:t>
      </w:r>
      <w:r w:rsidR="002A104F">
        <w:rPr>
          <w:rFonts w:ascii="Arial" w:hAnsi="Arial" w:cs="Arial"/>
          <w:szCs w:val="24"/>
        </w:rPr>
        <w:t xml:space="preserve">ensure its network includes </w:t>
      </w:r>
      <w:r w:rsidRPr="005C227C">
        <w:rPr>
          <w:rFonts w:ascii="Arial" w:hAnsi="Arial" w:cs="Arial"/>
          <w:szCs w:val="24"/>
        </w:rPr>
        <w:t xml:space="preserve">individual network providers that practice at the facility </w:t>
      </w:r>
      <w:r w:rsidR="002A104F">
        <w:rPr>
          <w:rFonts w:ascii="Arial" w:hAnsi="Arial" w:cs="Arial"/>
          <w:szCs w:val="24"/>
        </w:rPr>
        <w:t xml:space="preserve">to ensure adequate access to </w:t>
      </w:r>
      <w:r w:rsidRPr="005C227C">
        <w:rPr>
          <w:rFonts w:ascii="Arial" w:hAnsi="Arial" w:cs="Arial"/>
          <w:szCs w:val="24"/>
        </w:rPr>
        <w:t>covered services at the facility, including emergency room care. The DMHC has further updated Rule 1300.67.2(b) to clarify this requirement</w:t>
      </w:r>
      <w:r>
        <w:rPr>
          <w:rFonts w:ascii="Arial" w:hAnsi="Arial" w:cs="Arial"/>
          <w:szCs w:val="24"/>
        </w:rPr>
        <w:t>.</w:t>
      </w:r>
    </w:p>
    <w:p w14:paraId="2B5892A0" w14:textId="77777777" w:rsidR="00BB58BB" w:rsidRPr="00864666" w:rsidRDefault="00BB58BB" w:rsidP="00DF06EA">
      <w:pPr>
        <w:numPr>
          <w:ilvl w:val="0"/>
          <w:numId w:val="33"/>
        </w:numPr>
        <w:spacing w:after="240"/>
        <w:rPr>
          <w:rFonts w:ascii="Arial" w:hAnsi="Arial" w:cs="Arial"/>
          <w:b/>
          <w:bCs/>
          <w:szCs w:val="24"/>
        </w:rPr>
      </w:pPr>
      <w:r w:rsidRPr="00864666">
        <w:rPr>
          <w:rFonts w:ascii="Arial" w:hAnsi="Arial" w:cs="Arial"/>
          <w:b/>
          <w:bCs/>
          <w:szCs w:val="24"/>
        </w:rPr>
        <w:t>Does the DMHC require pediatric providers to be reviewed separately for network adequacy?</w:t>
      </w:r>
    </w:p>
    <w:p w14:paraId="7FFDD4AB" w14:textId="679B03F1" w:rsidR="00BB58BB" w:rsidRPr="0051727F" w:rsidRDefault="00BB58BB" w:rsidP="00B54DDF">
      <w:pPr>
        <w:spacing w:after="240"/>
        <w:ind w:left="720"/>
        <w:rPr>
          <w:rFonts w:ascii="Arial" w:hAnsi="Arial" w:cs="Arial"/>
          <w:szCs w:val="24"/>
        </w:rPr>
      </w:pPr>
      <w:r w:rsidRPr="0051727F">
        <w:rPr>
          <w:rFonts w:ascii="Arial" w:hAnsi="Arial" w:cs="Arial"/>
          <w:szCs w:val="24"/>
        </w:rPr>
        <w:t>In the Annual Network Report submission for RY 2025, the DMHC requires plans to report whether a provider serves a pediatric population, an adult population, or both. DMHC will evaluate this data for future network adequacy requirements.</w:t>
      </w:r>
    </w:p>
    <w:p w14:paraId="47D4AE70" w14:textId="77777777" w:rsidR="005B7443" w:rsidRDefault="00BB58BB" w:rsidP="00B54DDF">
      <w:pPr>
        <w:spacing w:after="240"/>
        <w:ind w:left="720"/>
        <w:rPr>
          <w:rFonts w:ascii="Arial" w:hAnsi="Arial" w:cs="Arial"/>
          <w:szCs w:val="24"/>
        </w:rPr>
      </w:pPr>
      <w:r w:rsidRPr="0051727F">
        <w:rPr>
          <w:rFonts w:ascii="Arial" w:hAnsi="Arial" w:cs="Arial"/>
          <w:szCs w:val="24"/>
        </w:rPr>
        <w:t xml:space="preserve">For the RY 2025 Annual Network Review, the DMHC is not measuring pediatric and adult providers separately for network adequacy. </w:t>
      </w:r>
      <w:r w:rsidR="003B1AA7">
        <w:rPr>
          <w:rFonts w:ascii="Arial" w:hAnsi="Arial" w:cs="Arial"/>
          <w:szCs w:val="24"/>
        </w:rPr>
        <w:t>T</w:t>
      </w:r>
      <w:r w:rsidRPr="0051727F">
        <w:rPr>
          <w:rFonts w:ascii="Arial" w:hAnsi="Arial" w:cs="Arial"/>
          <w:szCs w:val="24"/>
        </w:rPr>
        <w:t>he DMHC is continuing to evaluate the development of network adequacy standards pertaining to providers of pediatric services.</w:t>
      </w:r>
    </w:p>
    <w:p w14:paraId="4534E484" w14:textId="0299EF44" w:rsidR="00BB58BB" w:rsidRPr="00331903" w:rsidRDefault="00BB58BB" w:rsidP="004C5813">
      <w:pPr>
        <w:pStyle w:val="Heading2"/>
      </w:pPr>
      <w:r w:rsidRPr="00331903">
        <w:t>Geographic Access Standards and Methodology</w:t>
      </w:r>
    </w:p>
    <w:p w14:paraId="192F7006" w14:textId="77777777" w:rsidR="00BB58BB" w:rsidRPr="00FD24EE" w:rsidRDefault="00E74462" w:rsidP="00E74462">
      <w:pPr>
        <w:numPr>
          <w:ilvl w:val="0"/>
          <w:numId w:val="31"/>
        </w:numPr>
        <w:spacing w:after="240"/>
        <w:rPr>
          <w:rFonts w:ascii="Arial" w:hAnsi="Arial" w:cs="Arial"/>
          <w:b/>
          <w:bCs/>
          <w:szCs w:val="24"/>
        </w:rPr>
      </w:pPr>
      <w:r w:rsidRPr="00FD24EE">
        <w:rPr>
          <w:rFonts w:ascii="Arial" w:hAnsi="Arial" w:cs="Arial"/>
          <w:b/>
          <w:bCs/>
          <w:szCs w:val="24"/>
        </w:rPr>
        <w:t>Within the Specialist Physician Geographic Access Standards and Methodology, h</w:t>
      </w:r>
      <w:r w:rsidR="00BB58BB" w:rsidRPr="00FD24EE">
        <w:rPr>
          <w:rFonts w:ascii="Arial" w:hAnsi="Arial" w:cs="Arial"/>
          <w:b/>
          <w:bCs/>
          <w:szCs w:val="24"/>
        </w:rPr>
        <w:t>ow did the DMHC determine which counties to group together into a particular county type (i.e. large metro, metro, micro, rural, and CEAC)?</w:t>
      </w:r>
    </w:p>
    <w:p w14:paraId="4BE96860" w14:textId="77777777" w:rsidR="00BB58BB" w:rsidRPr="00FD24EE" w:rsidRDefault="00BB58BB" w:rsidP="00E74462">
      <w:pPr>
        <w:spacing w:after="240"/>
        <w:ind w:left="720"/>
        <w:rPr>
          <w:rFonts w:ascii="Arial" w:hAnsi="Arial" w:cs="Arial"/>
          <w:szCs w:val="24"/>
        </w:rPr>
      </w:pPr>
      <w:r w:rsidRPr="005C227C">
        <w:rPr>
          <w:rFonts w:ascii="Arial" w:hAnsi="Arial" w:cs="Arial"/>
          <w:szCs w:val="24"/>
        </w:rPr>
        <w:t xml:space="preserve">The DMHC modeled its assignment of county types off the approach taken by the Centers for Medicare and Medicaid Services, which uses the same county classification system. The counties are categorized based on the total population of the county and the population density of the county. Counties with similar </w:t>
      </w:r>
      <w:r w:rsidRPr="00FD24EE">
        <w:rPr>
          <w:rFonts w:ascii="Arial" w:hAnsi="Arial" w:cs="Arial"/>
          <w:szCs w:val="24"/>
        </w:rPr>
        <w:t>population and population densities are assigned the same county type.</w:t>
      </w:r>
    </w:p>
    <w:p w14:paraId="54560EAE" w14:textId="77777777" w:rsidR="00BB58BB" w:rsidRPr="00FD24EE" w:rsidRDefault="00BB58BB" w:rsidP="00E74462">
      <w:pPr>
        <w:numPr>
          <w:ilvl w:val="0"/>
          <w:numId w:val="31"/>
        </w:numPr>
        <w:spacing w:after="240"/>
        <w:rPr>
          <w:rFonts w:ascii="Arial" w:hAnsi="Arial" w:cs="Arial"/>
          <w:b/>
          <w:bCs/>
          <w:szCs w:val="24"/>
        </w:rPr>
      </w:pPr>
      <w:r w:rsidRPr="00FD24EE">
        <w:rPr>
          <w:rFonts w:ascii="Arial" w:hAnsi="Arial" w:cs="Arial"/>
          <w:b/>
          <w:bCs/>
          <w:szCs w:val="24"/>
        </w:rPr>
        <w:lastRenderedPageBreak/>
        <w:t xml:space="preserve">Do the </w:t>
      </w:r>
      <w:r w:rsidR="00E74462" w:rsidRPr="00FD24EE">
        <w:rPr>
          <w:rFonts w:ascii="Arial" w:hAnsi="Arial" w:cs="Arial"/>
          <w:b/>
          <w:bCs/>
          <w:szCs w:val="24"/>
        </w:rPr>
        <w:t>Specialist Physician G</w:t>
      </w:r>
      <w:r w:rsidRPr="00FD24EE">
        <w:rPr>
          <w:rFonts w:ascii="Arial" w:hAnsi="Arial" w:cs="Arial"/>
          <w:b/>
          <w:bCs/>
          <w:szCs w:val="24"/>
        </w:rPr>
        <w:t xml:space="preserve">eographic </w:t>
      </w:r>
      <w:r w:rsidR="00E74462" w:rsidRPr="00FD24EE">
        <w:rPr>
          <w:rFonts w:ascii="Arial" w:hAnsi="Arial" w:cs="Arial"/>
          <w:b/>
          <w:bCs/>
          <w:szCs w:val="24"/>
        </w:rPr>
        <w:t>A</w:t>
      </w:r>
      <w:r w:rsidRPr="00FD24EE">
        <w:rPr>
          <w:rFonts w:ascii="Arial" w:hAnsi="Arial" w:cs="Arial"/>
          <w:b/>
          <w:bCs/>
          <w:szCs w:val="24"/>
        </w:rPr>
        <w:t xml:space="preserve">ccess </w:t>
      </w:r>
      <w:r w:rsidR="00E74462" w:rsidRPr="00FD24EE">
        <w:rPr>
          <w:rFonts w:ascii="Arial" w:hAnsi="Arial" w:cs="Arial"/>
          <w:b/>
          <w:bCs/>
          <w:szCs w:val="24"/>
        </w:rPr>
        <w:t>S</w:t>
      </w:r>
      <w:r w:rsidRPr="00FD24EE">
        <w:rPr>
          <w:rFonts w:ascii="Arial" w:hAnsi="Arial" w:cs="Arial"/>
          <w:b/>
          <w:bCs/>
          <w:szCs w:val="24"/>
        </w:rPr>
        <w:t xml:space="preserve">tandards </w:t>
      </w:r>
      <w:r w:rsidR="00E74462" w:rsidRPr="00FD24EE">
        <w:rPr>
          <w:rFonts w:ascii="Arial" w:hAnsi="Arial" w:cs="Arial"/>
          <w:b/>
          <w:bCs/>
          <w:szCs w:val="24"/>
        </w:rPr>
        <w:t xml:space="preserve">and Methodology </w:t>
      </w:r>
      <w:r w:rsidRPr="00FD24EE">
        <w:rPr>
          <w:rFonts w:ascii="Arial" w:hAnsi="Arial" w:cs="Arial"/>
          <w:b/>
          <w:bCs/>
          <w:szCs w:val="24"/>
        </w:rPr>
        <w:t>measure both time and distance?</w:t>
      </w:r>
    </w:p>
    <w:p w14:paraId="047E00F5" w14:textId="40F32CBC" w:rsidR="00BB58BB" w:rsidRPr="0051727F" w:rsidRDefault="00BB58BB" w:rsidP="00E74462">
      <w:pPr>
        <w:spacing w:after="240"/>
        <w:ind w:left="720"/>
        <w:rPr>
          <w:rFonts w:ascii="Arial" w:hAnsi="Arial" w:cs="Arial"/>
          <w:szCs w:val="24"/>
        </w:rPr>
      </w:pPr>
      <w:r w:rsidRPr="0051727F">
        <w:rPr>
          <w:rFonts w:ascii="Arial" w:hAnsi="Arial" w:cs="Arial"/>
          <w:szCs w:val="24"/>
        </w:rPr>
        <w:t>The specialist physician geographic access standards</w:t>
      </w:r>
      <w:r w:rsidR="00E74462">
        <w:rPr>
          <w:rFonts w:ascii="Arial" w:hAnsi="Arial" w:cs="Arial"/>
          <w:szCs w:val="24"/>
        </w:rPr>
        <w:t xml:space="preserve"> and methodology</w:t>
      </w:r>
      <w:r w:rsidRPr="0051727F">
        <w:rPr>
          <w:rFonts w:ascii="Arial" w:hAnsi="Arial" w:cs="Arial"/>
          <w:szCs w:val="24"/>
        </w:rPr>
        <w:t xml:space="preserve"> measure distance</w:t>
      </w:r>
      <w:r w:rsidR="00E74462">
        <w:rPr>
          <w:rFonts w:ascii="Arial" w:hAnsi="Arial" w:cs="Arial"/>
          <w:szCs w:val="24"/>
        </w:rPr>
        <w:t>.</w:t>
      </w:r>
      <w:r w:rsidRPr="0051727F">
        <w:rPr>
          <w:rFonts w:ascii="Arial" w:hAnsi="Arial" w:cs="Arial"/>
          <w:szCs w:val="24"/>
        </w:rPr>
        <w:t xml:space="preserve"> </w:t>
      </w:r>
      <w:r w:rsidR="00450FC8">
        <w:rPr>
          <w:rFonts w:ascii="Arial" w:hAnsi="Arial" w:cs="Arial"/>
          <w:szCs w:val="24"/>
        </w:rPr>
        <w:t xml:space="preserve">The focus on driving distance, rather than time, results in clear requirements that allow for greater </w:t>
      </w:r>
      <w:r w:rsidR="00450FC8" w:rsidRPr="00FD24EE">
        <w:rPr>
          <w:rFonts w:ascii="Arial" w:hAnsi="Arial" w:cs="Arial"/>
          <w:szCs w:val="24"/>
        </w:rPr>
        <w:t>transparency and predictability for plans and consumers.</w:t>
      </w:r>
    </w:p>
    <w:p w14:paraId="70F75F03" w14:textId="77777777" w:rsidR="00BB58BB" w:rsidRDefault="00006050" w:rsidP="00E74462">
      <w:pPr>
        <w:spacing w:after="240"/>
        <w:ind w:left="720"/>
        <w:rPr>
          <w:rFonts w:ascii="Arial" w:hAnsi="Arial" w:cs="Arial"/>
          <w:szCs w:val="24"/>
        </w:rPr>
      </w:pPr>
      <w:r>
        <w:rPr>
          <w:rFonts w:ascii="Arial" w:hAnsi="Arial" w:cs="Arial"/>
          <w:szCs w:val="24"/>
        </w:rPr>
        <w:t>Additionally, t</w:t>
      </w:r>
      <w:r w:rsidR="00BB58BB" w:rsidRPr="0051727F">
        <w:rPr>
          <w:rFonts w:ascii="Arial" w:hAnsi="Arial" w:cs="Arial"/>
          <w:szCs w:val="24"/>
        </w:rPr>
        <w:t>he new standards set forth a stringent methodology for driving distance that is designed to accurately measure the distances to providers using available roads within each county. This methodology results in a more reliable, accurate, and comparable measure than what available driving time measurement approaches have been able to yield with existing technology.</w:t>
      </w:r>
    </w:p>
    <w:p w14:paraId="5D04F624" w14:textId="77777777" w:rsidR="007363A9" w:rsidRPr="00FD24EE" w:rsidRDefault="007363A9" w:rsidP="007363A9">
      <w:pPr>
        <w:numPr>
          <w:ilvl w:val="0"/>
          <w:numId w:val="31"/>
        </w:numPr>
        <w:spacing w:after="240"/>
        <w:rPr>
          <w:rFonts w:ascii="Arial" w:hAnsi="Arial" w:cs="Arial"/>
          <w:b/>
          <w:bCs/>
          <w:szCs w:val="24"/>
        </w:rPr>
      </w:pPr>
      <w:r w:rsidRPr="00FD24EE">
        <w:rPr>
          <w:rFonts w:ascii="Arial" w:hAnsi="Arial" w:cs="Arial"/>
          <w:b/>
          <w:bCs/>
          <w:szCs w:val="24"/>
        </w:rPr>
        <w:t>Will the DMHC release geographic access standards for additional specialty types or services?</w:t>
      </w:r>
    </w:p>
    <w:p w14:paraId="2263AD41" w14:textId="77777777" w:rsidR="007363A9" w:rsidRPr="00E74462" w:rsidRDefault="007363A9" w:rsidP="007363A9">
      <w:pPr>
        <w:pStyle w:val="ListParagraph"/>
        <w:spacing w:after="240"/>
        <w:contextualSpacing w:val="0"/>
        <w:rPr>
          <w:rFonts w:ascii="Arial" w:hAnsi="Arial" w:cs="Arial"/>
          <w:sz w:val="24"/>
          <w:szCs w:val="24"/>
        </w:rPr>
      </w:pPr>
      <w:r w:rsidRPr="00AE43E9">
        <w:rPr>
          <w:rFonts w:ascii="Arial" w:hAnsi="Arial" w:cs="Arial"/>
          <w:sz w:val="24"/>
          <w:szCs w:val="24"/>
        </w:rPr>
        <w:t>The DMHC is currently implementing quantitative network adequacy standards under an exemption to the Administrative Procedures Act (APA) established in H</w:t>
      </w:r>
      <w:r w:rsidR="00FD24EE">
        <w:rPr>
          <w:rFonts w:ascii="Arial" w:hAnsi="Arial" w:cs="Arial"/>
          <w:sz w:val="24"/>
          <w:szCs w:val="24"/>
        </w:rPr>
        <w:t>ealth and Safety</w:t>
      </w:r>
      <w:r w:rsidRPr="00AE43E9">
        <w:rPr>
          <w:rFonts w:ascii="Arial" w:hAnsi="Arial" w:cs="Arial"/>
          <w:sz w:val="24"/>
          <w:szCs w:val="24"/>
        </w:rPr>
        <w:t xml:space="preserve"> Code section 1367.03(f)(5). In future measurement years, the DMHC intends to expand quantitative standards for geographic access to additional specialty types. This includes provider types identified by the Centers for Medicare and Medicaid Services (CMS) for state sponsored exchanges under 45 C.F.R. § 156.230</w:t>
      </w:r>
      <w:r>
        <w:rPr>
          <w:rFonts w:ascii="Arial" w:hAnsi="Arial" w:cs="Arial"/>
          <w:sz w:val="24"/>
          <w:szCs w:val="24"/>
        </w:rPr>
        <w:t>.</w:t>
      </w:r>
    </w:p>
    <w:p w14:paraId="64FA58D9" w14:textId="667CC14B" w:rsidR="00320A1E" w:rsidRPr="00D974CA" w:rsidRDefault="00320A1E" w:rsidP="00B54DDF">
      <w:pPr>
        <w:pStyle w:val="Heading2"/>
      </w:pPr>
      <w:r>
        <w:t>Accepting New Patients Standards and Methodology</w:t>
      </w:r>
    </w:p>
    <w:p w14:paraId="732F6C8C" w14:textId="77777777" w:rsidR="00320A1E" w:rsidRPr="00FD24EE" w:rsidRDefault="00EF12B5" w:rsidP="00167318">
      <w:pPr>
        <w:numPr>
          <w:ilvl w:val="0"/>
          <w:numId w:val="38"/>
        </w:numPr>
        <w:spacing w:after="240"/>
        <w:rPr>
          <w:rFonts w:ascii="Arial" w:hAnsi="Arial" w:cs="Arial"/>
          <w:b/>
          <w:bCs/>
          <w:szCs w:val="24"/>
        </w:rPr>
      </w:pPr>
      <w:r>
        <w:rPr>
          <w:rFonts w:ascii="Arial" w:hAnsi="Arial" w:cs="Arial"/>
          <w:b/>
          <w:bCs/>
          <w:szCs w:val="24"/>
        </w:rPr>
        <w:t>If a health plan’s network meets the</w:t>
      </w:r>
      <w:r w:rsidR="00403891" w:rsidRPr="00FD24EE">
        <w:rPr>
          <w:rFonts w:ascii="Arial" w:hAnsi="Arial" w:cs="Arial"/>
          <w:b/>
          <w:bCs/>
          <w:szCs w:val="24"/>
        </w:rPr>
        <w:t xml:space="preserve"> thresholds in the </w:t>
      </w:r>
      <w:r w:rsidR="00E74462" w:rsidRPr="00FD24EE">
        <w:rPr>
          <w:rFonts w:ascii="Arial" w:hAnsi="Arial" w:cs="Arial"/>
          <w:b/>
          <w:bCs/>
          <w:szCs w:val="24"/>
        </w:rPr>
        <w:t>Accepting New Patients Standards and Methodology</w:t>
      </w:r>
      <w:r w:rsidR="00403891" w:rsidRPr="00FD24EE">
        <w:rPr>
          <w:rFonts w:ascii="Arial" w:hAnsi="Arial" w:cs="Arial"/>
          <w:b/>
          <w:bCs/>
          <w:szCs w:val="24"/>
        </w:rPr>
        <w:t xml:space="preserve"> documents</w:t>
      </w:r>
      <w:r>
        <w:rPr>
          <w:rFonts w:ascii="Arial" w:hAnsi="Arial" w:cs="Arial"/>
          <w:b/>
          <w:bCs/>
          <w:szCs w:val="24"/>
        </w:rPr>
        <w:t>, does this mean the plan has</w:t>
      </w:r>
      <w:r w:rsidR="00E74462" w:rsidRPr="00FD24EE">
        <w:rPr>
          <w:rFonts w:ascii="Arial" w:hAnsi="Arial" w:cs="Arial"/>
          <w:b/>
          <w:bCs/>
          <w:szCs w:val="24"/>
        </w:rPr>
        <w:t xml:space="preserve"> </w:t>
      </w:r>
      <w:r w:rsidR="00320A1E" w:rsidRPr="00FD24EE">
        <w:rPr>
          <w:rFonts w:ascii="Arial" w:hAnsi="Arial" w:cs="Arial"/>
          <w:b/>
          <w:bCs/>
          <w:szCs w:val="24"/>
        </w:rPr>
        <w:t>demonstrate</w:t>
      </w:r>
      <w:r>
        <w:rPr>
          <w:rFonts w:ascii="Arial" w:hAnsi="Arial" w:cs="Arial"/>
          <w:b/>
          <w:bCs/>
          <w:szCs w:val="24"/>
        </w:rPr>
        <w:t>d</w:t>
      </w:r>
      <w:r w:rsidR="00320A1E" w:rsidRPr="00FD24EE">
        <w:rPr>
          <w:rFonts w:ascii="Arial" w:hAnsi="Arial" w:cs="Arial"/>
          <w:b/>
          <w:bCs/>
          <w:szCs w:val="24"/>
        </w:rPr>
        <w:t xml:space="preserve"> </w:t>
      </w:r>
      <w:r>
        <w:rPr>
          <w:rFonts w:ascii="Arial" w:hAnsi="Arial" w:cs="Arial"/>
          <w:b/>
          <w:bCs/>
          <w:szCs w:val="24"/>
        </w:rPr>
        <w:t>that the provider type is available?</w:t>
      </w:r>
    </w:p>
    <w:p w14:paraId="7D643064" w14:textId="4C080F9F" w:rsidR="00320A1E" w:rsidRPr="005C227C" w:rsidRDefault="00883F61" w:rsidP="00E74462">
      <w:pPr>
        <w:spacing w:after="240"/>
        <w:ind w:left="720"/>
        <w:rPr>
          <w:rFonts w:ascii="Arial" w:hAnsi="Arial" w:cs="Arial"/>
          <w:szCs w:val="24"/>
        </w:rPr>
      </w:pPr>
      <w:r>
        <w:rPr>
          <w:rFonts w:ascii="Arial" w:hAnsi="Arial" w:cs="Arial"/>
          <w:szCs w:val="24"/>
        </w:rPr>
        <w:t xml:space="preserve">If the network meets the Accepting New Patients thresholds set forth in Rule 1300.67.2 and incorporated documents, it signifies the health plan has demonstrated compliance with the applicable standards and methodologies. </w:t>
      </w:r>
      <w:r w:rsidR="00FE4AFE">
        <w:rPr>
          <w:rFonts w:ascii="Arial" w:hAnsi="Arial" w:cs="Arial"/>
          <w:szCs w:val="24"/>
        </w:rPr>
        <w:t>Both the</w:t>
      </w:r>
      <w:r w:rsidR="00320A1E" w:rsidRPr="005C227C">
        <w:rPr>
          <w:rFonts w:ascii="Arial" w:hAnsi="Arial" w:cs="Arial"/>
          <w:szCs w:val="24"/>
        </w:rPr>
        <w:t xml:space="preserve"> </w:t>
      </w:r>
      <w:r w:rsidR="00E74462">
        <w:rPr>
          <w:rFonts w:ascii="Arial" w:hAnsi="Arial" w:cs="Arial"/>
          <w:szCs w:val="24"/>
        </w:rPr>
        <w:t xml:space="preserve">PCP Accepting New Patients </w:t>
      </w:r>
      <w:r w:rsidR="00FE4AFE">
        <w:rPr>
          <w:rFonts w:ascii="Arial" w:hAnsi="Arial" w:cs="Arial"/>
          <w:szCs w:val="24"/>
        </w:rPr>
        <w:t xml:space="preserve">Standards and Methodology </w:t>
      </w:r>
      <w:r w:rsidR="00E74462">
        <w:rPr>
          <w:rFonts w:ascii="Arial" w:hAnsi="Arial" w:cs="Arial"/>
          <w:szCs w:val="24"/>
        </w:rPr>
        <w:t xml:space="preserve">and </w:t>
      </w:r>
      <w:r w:rsidR="00FE4AFE">
        <w:rPr>
          <w:rFonts w:ascii="Arial" w:hAnsi="Arial" w:cs="Arial"/>
          <w:szCs w:val="24"/>
        </w:rPr>
        <w:t xml:space="preserve">the </w:t>
      </w:r>
      <w:r w:rsidR="00E74462">
        <w:rPr>
          <w:rFonts w:ascii="Arial" w:hAnsi="Arial" w:cs="Arial"/>
          <w:szCs w:val="24"/>
        </w:rPr>
        <w:t xml:space="preserve">Counseling MHP </w:t>
      </w:r>
      <w:r w:rsidR="00320A1E" w:rsidRPr="005C227C">
        <w:rPr>
          <w:rFonts w:ascii="Arial" w:hAnsi="Arial" w:cs="Arial"/>
          <w:szCs w:val="24"/>
        </w:rPr>
        <w:t xml:space="preserve">Accepting New Patients </w:t>
      </w:r>
      <w:r w:rsidR="00E74462">
        <w:rPr>
          <w:rFonts w:ascii="Arial" w:hAnsi="Arial" w:cs="Arial"/>
          <w:szCs w:val="24"/>
        </w:rPr>
        <w:t>S</w:t>
      </w:r>
      <w:r w:rsidR="00320A1E" w:rsidRPr="005C227C">
        <w:rPr>
          <w:rFonts w:ascii="Arial" w:hAnsi="Arial" w:cs="Arial"/>
          <w:szCs w:val="24"/>
        </w:rPr>
        <w:t xml:space="preserve">tandards </w:t>
      </w:r>
      <w:r w:rsidR="00E74462">
        <w:rPr>
          <w:rFonts w:ascii="Arial" w:hAnsi="Arial" w:cs="Arial"/>
          <w:szCs w:val="24"/>
        </w:rPr>
        <w:t>and Methodolog</w:t>
      </w:r>
      <w:r w:rsidR="00FE4AFE">
        <w:rPr>
          <w:rFonts w:ascii="Arial" w:hAnsi="Arial" w:cs="Arial"/>
          <w:szCs w:val="24"/>
        </w:rPr>
        <w:t xml:space="preserve">y </w:t>
      </w:r>
      <w:r w:rsidR="00320A1E" w:rsidRPr="005C227C">
        <w:rPr>
          <w:rFonts w:ascii="Arial" w:hAnsi="Arial" w:cs="Arial"/>
          <w:szCs w:val="24"/>
        </w:rPr>
        <w:t xml:space="preserve">measure whether </w:t>
      </w:r>
      <w:r w:rsidR="00E74462">
        <w:rPr>
          <w:rFonts w:ascii="Arial" w:hAnsi="Arial" w:cs="Arial"/>
          <w:szCs w:val="24"/>
        </w:rPr>
        <w:t>the</w:t>
      </w:r>
      <w:r w:rsidR="00403891">
        <w:rPr>
          <w:rFonts w:ascii="Arial" w:hAnsi="Arial" w:cs="Arial"/>
          <w:szCs w:val="24"/>
        </w:rPr>
        <w:t xml:space="preserve">re are sufficient </w:t>
      </w:r>
      <w:r w:rsidR="00FE4AFE">
        <w:rPr>
          <w:rFonts w:ascii="Arial" w:hAnsi="Arial" w:cs="Arial"/>
          <w:szCs w:val="24"/>
        </w:rPr>
        <w:t xml:space="preserve">network </w:t>
      </w:r>
      <w:r w:rsidR="00E74462">
        <w:rPr>
          <w:rFonts w:ascii="Arial" w:hAnsi="Arial" w:cs="Arial"/>
          <w:szCs w:val="24"/>
        </w:rPr>
        <w:t>providers</w:t>
      </w:r>
      <w:r w:rsidR="00320A1E" w:rsidRPr="005C227C">
        <w:rPr>
          <w:rFonts w:ascii="Arial" w:hAnsi="Arial" w:cs="Arial"/>
          <w:szCs w:val="24"/>
        </w:rPr>
        <w:t xml:space="preserve"> accepting new patients in each county within the plan's network service </w:t>
      </w:r>
      <w:r w:rsidR="00320A1E" w:rsidRPr="00403891">
        <w:rPr>
          <w:rFonts w:ascii="Arial" w:hAnsi="Arial" w:cs="Arial"/>
          <w:szCs w:val="24"/>
        </w:rPr>
        <w:t>area</w:t>
      </w:r>
      <w:r w:rsidR="00E74462" w:rsidRPr="00403891">
        <w:rPr>
          <w:rFonts w:ascii="Arial" w:hAnsi="Arial" w:cs="Arial"/>
          <w:szCs w:val="24"/>
        </w:rPr>
        <w:t xml:space="preserve"> </w:t>
      </w:r>
      <w:r w:rsidR="00FE4AFE" w:rsidRPr="00403891">
        <w:rPr>
          <w:rFonts w:ascii="Arial" w:hAnsi="Arial" w:cs="Arial"/>
          <w:szCs w:val="24"/>
        </w:rPr>
        <w:t xml:space="preserve">for enrollees </w:t>
      </w:r>
      <w:r w:rsidR="00E74462" w:rsidRPr="00403891">
        <w:rPr>
          <w:rFonts w:ascii="Arial" w:hAnsi="Arial" w:cs="Arial"/>
          <w:szCs w:val="24"/>
        </w:rPr>
        <w:t xml:space="preserve">to </w:t>
      </w:r>
      <w:r w:rsidR="00FE4AFE" w:rsidRPr="00403891">
        <w:rPr>
          <w:rFonts w:ascii="Arial" w:hAnsi="Arial" w:cs="Arial"/>
          <w:szCs w:val="24"/>
        </w:rPr>
        <w:t xml:space="preserve">access </w:t>
      </w:r>
      <w:r w:rsidR="00E74462" w:rsidRPr="00403891">
        <w:rPr>
          <w:rFonts w:ascii="Arial" w:hAnsi="Arial" w:cs="Arial"/>
          <w:szCs w:val="24"/>
        </w:rPr>
        <w:t>care</w:t>
      </w:r>
      <w:r w:rsidR="00320A1E" w:rsidRPr="00403891">
        <w:rPr>
          <w:rFonts w:ascii="Arial" w:hAnsi="Arial" w:cs="Arial"/>
          <w:szCs w:val="24"/>
        </w:rPr>
        <w:t>. This is</w:t>
      </w:r>
      <w:r w:rsidR="00320A1E" w:rsidRPr="005C227C">
        <w:rPr>
          <w:rFonts w:ascii="Arial" w:hAnsi="Arial" w:cs="Arial"/>
          <w:szCs w:val="24"/>
        </w:rPr>
        <w:t xml:space="preserve"> </w:t>
      </w:r>
      <w:r w:rsidR="00EF12B5">
        <w:rPr>
          <w:rFonts w:ascii="Arial" w:hAnsi="Arial" w:cs="Arial"/>
          <w:szCs w:val="24"/>
        </w:rPr>
        <w:t xml:space="preserve">only </w:t>
      </w:r>
      <w:r w:rsidR="00320A1E" w:rsidRPr="005C227C">
        <w:rPr>
          <w:rFonts w:ascii="Arial" w:hAnsi="Arial" w:cs="Arial"/>
          <w:szCs w:val="24"/>
        </w:rPr>
        <w:t>one measure of network adequacy within a plan's network service area.</w:t>
      </w:r>
    </w:p>
    <w:p w14:paraId="07A15E26" w14:textId="77777777" w:rsidR="00320A1E" w:rsidRPr="005C227C" w:rsidRDefault="00320A1E" w:rsidP="00E74462">
      <w:pPr>
        <w:spacing w:after="240"/>
        <w:ind w:left="720"/>
        <w:rPr>
          <w:rFonts w:ascii="Arial" w:hAnsi="Arial" w:cs="Arial"/>
          <w:szCs w:val="24"/>
        </w:rPr>
      </w:pPr>
      <w:r w:rsidRPr="005C227C">
        <w:rPr>
          <w:rFonts w:ascii="Arial" w:hAnsi="Arial" w:cs="Arial"/>
          <w:szCs w:val="24"/>
        </w:rPr>
        <w:t>When developing the</w:t>
      </w:r>
      <w:r w:rsidR="00E74462">
        <w:rPr>
          <w:rFonts w:ascii="Arial" w:hAnsi="Arial" w:cs="Arial"/>
          <w:szCs w:val="24"/>
        </w:rPr>
        <w:t>se standards and methodologies</w:t>
      </w:r>
      <w:r w:rsidRPr="005C227C">
        <w:rPr>
          <w:rFonts w:ascii="Arial" w:hAnsi="Arial" w:cs="Arial"/>
          <w:szCs w:val="24"/>
        </w:rPr>
        <w:t xml:space="preserve">, the DMHC considered the number and </w:t>
      </w:r>
      <w:r w:rsidRPr="00E74462">
        <w:rPr>
          <w:rFonts w:ascii="Arial" w:hAnsi="Arial" w:cs="Arial"/>
          <w:szCs w:val="24"/>
        </w:rPr>
        <w:t xml:space="preserve">geographic distribution of providers within </w:t>
      </w:r>
      <w:r w:rsidR="00BE2480">
        <w:rPr>
          <w:rFonts w:ascii="Arial" w:hAnsi="Arial" w:cs="Arial"/>
          <w:szCs w:val="24"/>
        </w:rPr>
        <w:t>each</w:t>
      </w:r>
      <w:r w:rsidRPr="00E74462">
        <w:rPr>
          <w:rFonts w:ascii="Arial" w:hAnsi="Arial" w:cs="Arial"/>
          <w:szCs w:val="24"/>
        </w:rPr>
        <w:t xml:space="preserve"> network </w:t>
      </w:r>
      <w:r w:rsidR="00BE2480">
        <w:rPr>
          <w:rFonts w:ascii="Arial" w:hAnsi="Arial" w:cs="Arial"/>
          <w:szCs w:val="24"/>
        </w:rPr>
        <w:t>and</w:t>
      </w:r>
      <w:r w:rsidRPr="00E74462">
        <w:rPr>
          <w:rFonts w:ascii="Arial" w:hAnsi="Arial" w:cs="Arial"/>
          <w:szCs w:val="24"/>
        </w:rPr>
        <w:t xml:space="preserve"> county, to determine an appropriate </w:t>
      </w:r>
      <w:r w:rsidR="00FD24EE">
        <w:rPr>
          <w:rFonts w:ascii="Arial" w:hAnsi="Arial" w:cs="Arial"/>
          <w:szCs w:val="24"/>
        </w:rPr>
        <w:t>standard</w:t>
      </w:r>
      <w:r w:rsidRPr="00E74462">
        <w:rPr>
          <w:rFonts w:ascii="Arial" w:hAnsi="Arial" w:cs="Arial"/>
          <w:szCs w:val="24"/>
        </w:rPr>
        <w:t xml:space="preserve"> for enrollee access</w:t>
      </w:r>
      <w:r w:rsidR="00FE4AFE">
        <w:rPr>
          <w:rFonts w:ascii="Arial" w:hAnsi="Arial" w:cs="Arial"/>
          <w:szCs w:val="24"/>
        </w:rPr>
        <w:t xml:space="preserve"> </w:t>
      </w:r>
      <w:r w:rsidR="00FD24EE">
        <w:rPr>
          <w:rFonts w:ascii="Arial" w:hAnsi="Arial" w:cs="Arial"/>
          <w:szCs w:val="24"/>
        </w:rPr>
        <w:t xml:space="preserve">to </w:t>
      </w:r>
      <w:r w:rsidR="00FE4AFE">
        <w:rPr>
          <w:rFonts w:ascii="Arial" w:hAnsi="Arial" w:cs="Arial"/>
          <w:szCs w:val="24"/>
        </w:rPr>
        <w:t>providers who are available to accept new patient</w:t>
      </w:r>
      <w:r w:rsidR="00FD24EE">
        <w:rPr>
          <w:rFonts w:ascii="Arial" w:hAnsi="Arial" w:cs="Arial"/>
          <w:szCs w:val="24"/>
        </w:rPr>
        <w:t>s</w:t>
      </w:r>
      <w:r w:rsidRPr="00E74462">
        <w:rPr>
          <w:rFonts w:ascii="Arial" w:hAnsi="Arial" w:cs="Arial"/>
          <w:szCs w:val="24"/>
        </w:rPr>
        <w:t xml:space="preserve">. By calculating the percentage of network </w:t>
      </w:r>
      <w:r w:rsidRPr="00E74462">
        <w:rPr>
          <w:rFonts w:ascii="Arial" w:hAnsi="Arial" w:cs="Arial"/>
          <w:szCs w:val="24"/>
        </w:rPr>
        <w:lastRenderedPageBreak/>
        <w:t xml:space="preserve">providers </w:t>
      </w:r>
      <w:r w:rsidR="00E74462" w:rsidRPr="00E74462">
        <w:rPr>
          <w:rFonts w:ascii="Arial" w:hAnsi="Arial" w:cs="Arial"/>
          <w:szCs w:val="24"/>
        </w:rPr>
        <w:t xml:space="preserve">and provider locations </w:t>
      </w:r>
      <w:r w:rsidRPr="00E74462">
        <w:rPr>
          <w:rFonts w:ascii="Arial" w:hAnsi="Arial" w:cs="Arial"/>
          <w:szCs w:val="24"/>
        </w:rPr>
        <w:t xml:space="preserve">accepting new patients at both the county level and network level, there is additional assurance that available </w:t>
      </w:r>
      <w:r w:rsidR="00E74462">
        <w:rPr>
          <w:rFonts w:ascii="Arial" w:hAnsi="Arial" w:cs="Arial"/>
          <w:szCs w:val="24"/>
        </w:rPr>
        <w:t xml:space="preserve">network </w:t>
      </w:r>
      <w:r w:rsidRPr="00E74462">
        <w:rPr>
          <w:rFonts w:ascii="Arial" w:hAnsi="Arial" w:cs="Arial"/>
          <w:szCs w:val="24"/>
        </w:rPr>
        <w:t>providers will be within a reasonable distance of all enrollees within the network.</w:t>
      </w:r>
    </w:p>
    <w:p w14:paraId="54A587FC" w14:textId="77777777" w:rsidR="00BB58BB" w:rsidRPr="00BE2480" w:rsidRDefault="00BB58BB" w:rsidP="00167318">
      <w:pPr>
        <w:numPr>
          <w:ilvl w:val="0"/>
          <w:numId w:val="38"/>
        </w:numPr>
        <w:spacing w:after="240"/>
        <w:rPr>
          <w:rFonts w:ascii="Arial" w:hAnsi="Arial" w:cs="Arial"/>
          <w:b/>
          <w:bCs/>
          <w:szCs w:val="24"/>
        </w:rPr>
      </w:pPr>
      <w:r w:rsidRPr="00BE2480">
        <w:rPr>
          <w:rFonts w:ascii="Arial" w:hAnsi="Arial" w:cs="Arial"/>
          <w:b/>
          <w:bCs/>
          <w:szCs w:val="24"/>
        </w:rPr>
        <w:t xml:space="preserve">Why </w:t>
      </w:r>
      <w:r w:rsidR="00403891" w:rsidRPr="00BE2480">
        <w:rPr>
          <w:rFonts w:ascii="Arial" w:hAnsi="Arial" w:cs="Arial"/>
          <w:b/>
          <w:bCs/>
          <w:szCs w:val="24"/>
        </w:rPr>
        <w:t>are there</w:t>
      </w:r>
      <w:r w:rsidRPr="00BE2480">
        <w:rPr>
          <w:rFonts w:ascii="Arial" w:hAnsi="Arial" w:cs="Arial"/>
          <w:b/>
          <w:bCs/>
          <w:szCs w:val="24"/>
        </w:rPr>
        <w:t xml:space="preserve"> different Accepting New Patients threshold</w:t>
      </w:r>
      <w:r w:rsidR="00403891" w:rsidRPr="00BE2480">
        <w:rPr>
          <w:rFonts w:ascii="Arial" w:hAnsi="Arial" w:cs="Arial"/>
          <w:b/>
          <w:bCs/>
          <w:szCs w:val="24"/>
        </w:rPr>
        <w:t>s</w:t>
      </w:r>
      <w:r w:rsidRPr="00BE2480">
        <w:rPr>
          <w:rFonts w:ascii="Arial" w:hAnsi="Arial" w:cs="Arial"/>
          <w:b/>
          <w:bCs/>
          <w:szCs w:val="24"/>
        </w:rPr>
        <w:t xml:space="preserve"> for PCPs </w:t>
      </w:r>
      <w:r w:rsidR="00403891" w:rsidRPr="00BE2480">
        <w:rPr>
          <w:rFonts w:ascii="Arial" w:hAnsi="Arial" w:cs="Arial"/>
          <w:b/>
          <w:bCs/>
          <w:szCs w:val="24"/>
        </w:rPr>
        <w:t xml:space="preserve">and </w:t>
      </w:r>
      <w:r w:rsidRPr="00BE2480">
        <w:rPr>
          <w:rFonts w:ascii="Arial" w:hAnsi="Arial" w:cs="Arial"/>
          <w:b/>
          <w:bCs/>
          <w:szCs w:val="24"/>
        </w:rPr>
        <w:t>Counseling MHPs?</w:t>
      </w:r>
    </w:p>
    <w:p w14:paraId="6D5EA084" w14:textId="6C4C331B" w:rsidR="00BB58BB" w:rsidRDefault="00BB58BB" w:rsidP="00B54DDF">
      <w:pPr>
        <w:spacing w:after="240"/>
        <w:ind w:left="720"/>
        <w:rPr>
          <w:rFonts w:ascii="Arial" w:hAnsi="Arial" w:cs="Arial"/>
          <w:szCs w:val="24"/>
        </w:rPr>
      </w:pPr>
      <w:r w:rsidRPr="00AE43E9">
        <w:rPr>
          <w:rFonts w:ascii="Arial" w:hAnsi="Arial" w:cs="Arial"/>
          <w:szCs w:val="24"/>
        </w:rPr>
        <w:t xml:space="preserve">The DMHC developed the thresholds based on the overall reported capacity of </w:t>
      </w:r>
      <w:r w:rsidR="00FE4AFE">
        <w:rPr>
          <w:rFonts w:ascii="Arial" w:hAnsi="Arial" w:cs="Arial"/>
          <w:szCs w:val="24"/>
        </w:rPr>
        <w:t xml:space="preserve">network </w:t>
      </w:r>
      <w:r w:rsidRPr="00AE43E9">
        <w:rPr>
          <w:rFonts w:ascii="Arial" w:hAnsi="Arial" w:cs="Arial"/>
          <w:szCs w:val="24"/>
        </w:rPr>
        <w:t>providers to accept new patients</w:t>
      </w:r>
      <w:r w:rsidR="00FE4AFE">
        <w:rPr>
          <w:rFonts w:ascii="Arial" w:hAnsi="Arial" w:cs="Arial"/>
          <w:szCs w:val="24"/>
        </w:rPr>
        <w:t xml:space="preserve"> a</w:t>
      </w:r>
      <w:r w:rsidRPr="00AE43E9">
        <w:rPr>
          <w:rFonts w:ascii="Arial" w:hAnsi="Arial" w:cs="Arial"/>
          <w:szCs w:val="24"/>
        </w:rPr>
        <w:t xml:space="preserve">nd expected patient need. This is based on data submitted annually by the industry. Because the utilization of </w:t>
      </w:r>
      <w:r>
        <w:rPr>
          <w:rFonts w:ascii="Arial" w:hAnsi="Arial" w:cs="Arial"/>
          <w:szCs w:val="24"/>
        </w:rPr>
        <w:t>primary care physicians (</w:t>
      </w:r>
      <w:r w:rsidRPr="00AE43E9">
        <w:rPr>
          <w:rFonts w:ascii="Arial" w:hAnsi="Arial" w:cs="Arial"/>
          <w:szCs w:val="24"/>
        </w:rPr>
        <w:t>PCPs</w:t>
      </w:r>
      <w:r>
        <w:rPr>
          <w:rFonts w:ascii="Arial" w:hAnsi="Arial" w:cs="Arial"/>
          <w:szCs w:val="24"/>
        </w:rPr>
        <w:t>)</w:t>
      </w:r>
      <w:r w:rsidRPr="00AE43E9">
        <w:rPr>
          <w:rFonts w:ascii="Arial" w:hAnsi="Arial" w:cs="Arial"/>
          <w:szCs w:val="24"/>
        </w:rPr>
        <w:t xml:space="preserve"> is different from </w:t>
      </w:r>
      <w:r>
        <w:rPr>
          <w:rFonts w:ascii="Arial" w:hAnsi="Arial" w:cs="Arial"/>
          <w:szCs w:val="24"/>
        </w:rPr>
        <w:t xml:space="preserve">non-physician counseling mental health professionals (Counseling </w:t>
      </w:r>
      <w:r w:rsidRPr="00AE43E9">
        <w:rPr>
          <w:rFonts w:ascii="Arial" w:hAnsi="Arial" w:cs="Arial"/>
          <w:szCs w:val="24"/>
        </w:rPr>
        <w:t>MHPs</w:t>
      </w:r>
      <w:r>
        <w:rPr>
          <w:rFonts w:ascii="Arial" w:hAnsi="Arial" w:cs="Arial"/>
          <w:szCs w:val="24"/>
        </w:rPr>
        <w:t>),</w:t>
      </w:r>
      <w:r w:rsidRPr="00AE43E9">
        <w:rPr>
          <w:rFonts w:ascii="Arial" w:hAnsi="Arial" w:cs="Arial"/>
          <w:szCs w:val="24"/>
        </w:rPr>
        <w:t xml:space="preserve"> the availability to accept new patients will vary for these provider types.</w:t>
      </w:r>
    </w:p>
    <w:p w14:paraId="6240DD37" w14:textId="77777777" w:rsidR="00BB58BB" w:rsidRPr="00A22060" w:rsidRDefault="00BB58BB" w:rsidP="00B54DDF">
      <w:pPr>
        <w:spacing w:after="240"/>
        <w:ind w:left="720"/>
        <w:rPr>
          <w:rFonts w:ascii="Arial" w:hAnsi="Arial" w:cs="Arial"/>
          <w:szCs w:val="24"/>
        </w:rPr>
      </w:pPr>
      <w:r w:rsidRPr="00AE43E9">
        <w:rPr>
          <w:rFonts w:ascii="Arial" w:hAnsi="Arial" w:cs="Arial"/>
          <w:szCs w:val="24"/>
        </w:rPr>
        <w:t xml:space="preserve">For example, </w:t>
      </w:r>
      <w:r>
        <w:rPr>
          <w:rFonts w:ascii="Arial" w:hAnsi="Arial" w:cs="Arial"/>
          <w:szCs w:val="24"/>
        </w:rPr>
        <w:t>most</w:t>
      </w:r>
      <w:r w:rsidRPr="00AE43E9">
        <w:rPr>
          <w:rFonts w:ascii="Arial" w:hAnsi="Arial" w:cs="Arial"/>
          <w:szCs w:val="24"/>
        </w:rPr>
        <w:t xml:space="preserve"> enrollees are required to select a</w:t>
      </w:r>
      <w:r w:rsidR="00FE4AFE">
        <w:rPr>
          <w:rFonts w:ascii="Arial" w:hAnsi="Arial" w:cs="Arial"/>
          <w:szCs w:val="24"/>
        </w:rPr>
        <w:t>n in-network</w:t>
      </w:r>
      <w:r w:rsidRPr="00AE43E9">
        <w:rPr>
          <w:rFonts w:ascii="Arial" w:hAnsi="Arial" w:cs="Arial"/>
          <w:szCs w:val="24"/>
        </w:rPr>
        <w:t xml:space="preserve"> PCP</w:t>
      </w:r>
      <w:r>
        <w:rPr>
          <w:rFonts w:ascii="Arial" w:hAnsi="Arial" w:cs="Arial"/>
          <w:szCs w:val="24"/>
        </w:rPr>
        <w:t>;</w:t>
      </w:r>
      <w:r w:rsidRPr="00AE43E9">
        <w:rPr>
          <w:rFonts w:ascii="Arial" w:hAnsi="Arial" w:cs="Arial"/>
          <w:szCs w:val="24"/>
        </w:rPr>
        <w:t xml:space="preserve"> whereas only enrollees requiring </w:t>
      </w:r>
      <w:r>
        <w:rPr>
          <w:rFonts w:ascii="Arial" w:hAnsi="Arial" w:cs="Arial"/>
          <w:szCs w:val="24"/>
        </w:rPr>
        <w:t xml:space="preserve">counseling </w:t>
      </w:r>
      <w:r w:rsidRPr="00AE43E9">
        <w:rPr>
          <w:rFonts w:ascii="Arial" w:hAnsi="Arial" w:cs="Arial"/>
          <w:szCs w:val="24"/>
        </w:rPr>
        <w:t xml:space="preserve">mental health care </w:t>
      </w:r>
      <w:r>
        <w:rPr>
          <w:rFonts w:ascii="Arial" w:hAnsi="Arial" w:cs="Arial"/>
          <w:szCs w:val="24"/>
        </w:rPr>
        <w:t>will access a</w:t>
      </w:r>
      <w:r w:rsidRPr="00AE43E9">
        <w:rPr>
          <w:rFonts w:ascii="Arial" w:hAnsi="Arial" w:cs="Arial"/>
          <w:szCs w:val="24"/>
        </w:rPr>
        <w:t xml:space="preserve"> </w:t>
      </w:r>
      <w:r>
        <w:rPr>
          <w:rFonts w:ascii="Arial" w:hAnsi="Arial" w:cs="Arial"/>
          <w:szCs w:val="24"/>
        </w:rPr>
        <w:t>Counseling MHP</w:t>
      </w:r>
      <w:r w:rsidRPr="00AE43E9">
        <w:rPr>
          <w:rFonts w:ascii="Arial" w:hAnsi="Arial" w:cs="Arial"/>
          <w:szCs w:val="24"/>
        </w:rPr>
        <w:t xml:space="preserve">. </w:t>
      </w:r>
      <w:r w:rsidR="00FE4AFE">
        <w:rPr>
          <w:rFonts w:ascii="Arial" w:hAnsi="Arial" w:cs="Arial"/>
          <w:szCs w:val="24"/>
        </w:rPr>
        <w:t xml:space="preserve">Enrollees are expected to remain with an assigned PCP throughout the year, unless circumstances require a switch to a different PCP. The continuous nature of the assignment </w:t>
      </w:r>
      <w:r w:rsidR="00FE4AFE" w:rsidRPr="00AE43E9">
        <w:rPr>
          <w:rFonts w:ascii="Arial" w:hAnsi="Arial" w:cs="Arial"/>
          <w:szCs w:val="24"/>
        </w:rPr>
        <w:t xml:space="preserve">impacts the number of PCPs </w:t>
      </w:r>
      <w:r w:rsidR="00FE4AFE">
        <w:rPr>
          <w:rFonts w:ascii="Arial" w:hAnsi="Arial" w:cs="Arial"/>
          <w:szCs w:val="24"/>
        </w:rPr>
        <w:t xml:space="preserve">who must be </w:t>
      </w:r>
      <w:r w:rsidR="00FE4AFE" w:rsidRPr="00AE43E9">
        <w:rPr>
          <w:rFonts w:ascii="Arial" w:hAnsi="Arial" w:cs="Arial"/>
          <w:szCs w:val="24"/>
        </w:rPr>
        <w:t>available to accept new patients</w:t>
      </w:r>
      <w:r w:rsidR="00FE4AFE">
        <w:rPr>
          <w:rFonts w:ascii="Arial" w:hAnsi="Arial" w:cs="Arial"/>
          <w:szCs w:val="24"/>
        </w:rPr>
        <w:t xml:space="preserve"> within each </w:t>
      </w:r>
      <w:r w:rsidR="00403891">
        <w:rPr>
          <w:rFonts w:ascii="Arial" w:hAnsi="Arial" w:cs="Arial"/>
          <w:szCs w:val="24"/>
        </w:rPr>
        <w:t xml:space="preserve">county in the </w:t>
      </w:r>
      <w:r w:rsidR="00FE4AFE">
        <w:rPr>
          <w:rFonts w:ascii="Arial" w:hAnsi="Arial" w:cs="Arial"/>
          <w:szCs w:val="24"/>
        </w:rPr>
        <w:t>network service area</w:t>
      </w:r>
      <w:r w:rsidR="00FE4AFE" w:rsidRPr="00AE43E9">
        <w:rPr>
          <w:rFonts w:ascii="Arial" w:hAnsi="Arial" w:cs="Arial"/>
          <w:szCs w:val="24"/>
        </w:rPr>
        <w:t>.</w:t>
      </w:r>
      <w:r w:rsidR="00006050">
        <w:rPr>
          <w:rFonts w:ascii="Arial" w:hAnsi="Arial" w:cs="Arial"/>
          <w:szCs w:val="24"/>
        </w:rPr>
        <w:t xml:space="preserve"> If a managed care plan is operating as designed, fewer PCPs are expected to be accepting new patients because almost all existing patients should be assigned to a PCP and occupying the overall capacity of the PCP network.</w:t>
      </w:r>
      <w:r w:rsidR="00FE4AFE">
        <w:rPr>
          <w:rFonts w:ascii="Arial" w:hAnsi="Arial" w:cs="Arial"/>
          <w:szCs w:val="24"/>
        </w:rPr>
        <w:t xml:space="preserve"> Conversely, s</w:t>
      </w:r>
      <w:r>
        <w:rPr>
          <w:rFonts w:ascii="Arial" w:hAnsi="Arial" w:cs="Arial"/>
          <w:szCs w:val="24"/>
        </w:rPr>
        <w:t>ome patients only require short-term or episodic care from a Counseling MHP</w:t>
      </w:r>
      <w:r w:rsidR="00FE4AFE">
        <w:rPr>
          <w:rFonts w:ascii="Arial" w:hAnsi="Arial" w:cs="Arial"/>
          <w:szCs w:val="24"/>
        </w:rPr>
        <w:t xml:space="preserve">, and </w:t>
      </w:r>
      <w:r>
        <w:rPr>
          <w:rFonts w:ascii="Arial" w:hAnsi="Arial" w:cs="Arial"/>
          <w:szCs w:val="24"/>
        </w:rPr>
        <w:t xml:space="preserve">Counseling MHPs must be available to accept new patients </w:t>
      </w:r>
      <w:r w:rsidR="00403891">
        <w:rPr>
          <w:rFonts w:ascii="Arial" w:hAnsi="Arial" w:cs="Arial"/>
          <w:szCs w:val="24"/>
        </w:rPr>
        <w:t xml:space="preserve">whenever </w:t>
      </w:r>
      <w:r w:rsidR="00FE4AFE">
        <w:rPr>
          <w:rFonts w:ascii="Arial" w:hAnsi="Arial" w:cs="Arial"/>
          <w:szCs w:val="24"/>
        </w:rPr>
        <w:t xml:space="preserve">the care </w:t>
      </w:r>
      <w:r w:rsidR="00FE4AFE" w:rsidRPr="00A22060">
        <w:rPr>
          <w:rFonts w:ascii="Arial" w:hAnsi="Arial" w:cs="Arial"/>
          <w:szCs w:val="24"/>
        </w:rPr>
        <w:t>needs arise in the enrollee population.</w:t>
      </w:r>
    </w:p>
    <w:p w14:paraId="6D736B28" w14:textId="77777777" w:rsidR="008C1A99" w:rsidRPr="00A22060" w:rsidRDefault="008C1A99" w:rsidP="00B54DDF">
      <w:pPr>
        <w:numPr>
          <w:ilvl w:val="0"/>
          <w:numId w:val="38"/>
        </w:numPr>
        <w:spacing w:after="240"/>
        <w:rPr>
          <w:rFonts w:ascii="Arial" w:hAnsi="Arial" w:cs="Arial"/>
          <w:b/>
          <w:bCs/>
          <w:szCs w:val="24"/>
        </w:rPr>
      </w:pPr>
      <w:r w:rsidRPr="00A22060">
        <w:rPr>
          <w:rFonts w:ascii="Arial" w:hAnsi="Arial" w:cs="Arial"/>
          <w:b/>
          <w:bCs/>
          <w:szCs w:val="24"/>
        </w:rPr>
        <w:t xml:space="preserve">Is </w:t>
      </w:r>
      <w:r w:rsidR="00852861">
        <w:rPr>
          <w:rFonts w:ascii="Arial" w:hAnsi="Arial" w:cs="Arial"/>
          <w:b/>
          <w:bCs/>
          <w:szCs w:val="24"/>
        </w:rPr>
        <w:t>a</w:t>
      </w:r>
      <w:r w:rsidRPr="00A22060">
        <w:rPr>
          <w:rFonts w:ascii="Arial" w:hAnsi="Arial" w:cs="Arial"/>
          <w:b/>
          <w:bCs/>
          <w:szCs w:val="24"/>
        </w:rPr>
        <w:t xml:space="preserve"> health plan required to meet the Accepting New Patients Standard for PCPs in counties that are outside of the network service area? How does the DMHC review counties outside the network service area that have in-network PCPs?</w:t>
      </w:r>
    </w:p>
    <w:p w14:paraId="7FE2D81C" w14:textId="425185AD" w:rsidR="008C1A99" w:rsidRPr="00AA7052" w:rsidRDefault="008C1A99" w:rsidP="007D4770">
      <w:pPr>
        <w:pStyle w:val="ListParagraph"/>
        <w:spacing w:after="240"/>
        <w:contextualSpacing w:val="0"/>
        <w:rPr>
          <w:rFonts w:ascii="Arial" w:hAnsi="Arial" w:cs="Arial"/>
          <w:sz w:val="24"/>
          <w:szCs w:val="24"/>
        </w:rPr>
      </w:pPr>
      <w:r w:rsidRPr="00AA7052">
        <w:rPr>
          <w:rFonts w:ascii="Arial" w:hAnsi="Arial" w:cs="Arial"/>
          <w:sz w:val="24"/>
          <w:szCs w:val="24"/>
        </w:rPr>
        <w:t xml:space="preserve">The Department does not measure plans for compliance in counties that are not part of the </w:t>
      </w:r>
      <w:r w:rsidR="00852861">
        <w:rPr>
          <w:rFonts w:ascii="Arial" w:hAnsi="Arial" w:cs="Arial"/>
          <w:sz w:val="24"/>
          <w:szCs w:val="24"/>
        </w:rPr>
        <w:t>p</w:t>
      </w:r>
      <w:r w:rsidRPr="00AA7052">
        <w:rPr>
          <w:rFonts w:ascii="Arial" w:hAnsi="Arial" w:cs="Arial"/>
          <w:sz w:val="24"/>
          <w:szCs w:val="24"/>
        </w:rPr>
        <w:t xml:space="preserve">lan's network service area. However, if the plan initially fails to meet the PCP Accepting New Patients standard in a Rural or CEAC County within the network service area, the </w:t>
      </w:r>
      <w:r w:rsidR="00852861">
        <w:rPr>
          <w:rFonts w:ascii="Arial" w:hAnsi="Arial" w:cs="Arial"/>
          <w:sz w:val="24"/>
          <w:szCs w:val="24"/>
        </w:rPr>
        <w:t>p</w:t>
      </w:r>
      <w:r w:rsidRPr="00AA7052">
        <w:rPr>
          <w:rFonts w:ascii="Arial" w:hAnsi="Arial" w:cs="Arial"/>
          <w:sz w:val="24"/>
          <w:szCs w:val="24"/>
        </w:rPr>
        <w:t>lan may be able to meet the standard when the network includes PCPs in a neighboring county, whether or not the neighboring county is part of the network service area. This Alternative Methodology for a Combined County Threshold is set forth in detail in Schedule F of the PCP Accepting New Patients Standards and Methodology Document.</w:t>
      </w:r>
    </w:p>
    <w:p w14:paraId="4242E658" w14:textId="57188026" w:rsidR="008C1A99" w:rsidRDefault="008C1A99" w:rsidP="007D4770">
      <w:pPr>
        <w:pStyle w:val="ListParagraph"/>
        <w:spacing w:after="240"/>
        <w:contextualSpacing w:val="0"/>
        <w:rPr>
          <w:rFonts w:ascii="Arial" w:hAnsi="Arial" w:cs="Arial"/>
          <w:sz w:val="24"/>
          <w:szCs w:val="24"/>
        </w:rPr>
      </w:pPr>
      <w:r w:rsidRPr="00AA7052">
        <w:rPr>
          <w:rFonts w:ascii="Arial" w:hAnsi="Arial" w:cs="Arial"/>
          <w:sz w:val="24"/>
          <w:szCs w:val="24"/>
        </w:rPr>
        <w:t>Please see Schedule F for details concerning the Alternative Methodology for a Combined County Threshold in Rural and CEAC Counties.</w:t>
      </w:r>
    </w:p>
    <w:p w14:paraId="094B6BC3" w14:textId="1971443C" w:rsidR="00BB58BB" w:rsidRPr="00BB58BB" w:rsidRDefault="00BB58BB" w:rsidP="00B54DDF">
      <w:pPr>
        <w:pStyle w:val="Heading2"/>
      </w:pPr>
      <w:r w:rsidRPr="00BB58BB">
        <w:lastRenderedPageBreak/>
        <w:t>Ratio</w:t>
      </w:r>
      <w:r w:rsidR="006965F0">
        <w:t xml:space="preserve"> Standards and Methodology</w:t>
      </w:r>
    </w:p>
    <w:p w14:paraId="2D71D0F0" w14:textId="77777777" w:rsidR="00BB58BB" w:rsidRPr="000373E6" w:rsidRDefault="00BB58BB" w:rsidP="00167318">
      <w:pPr>
        <w:numPr>
          <w:ilvl w:val="0"/>
          <w:numId w:val="39"/>
        </w:numPr>
        <w:spacing w:after="240"/>
        <w:rPr>
          <w:rFonts w:ascii="Arial" w:hAnsi="Arial" w:cs="Arial"/>
          <w:b/>
          <w:bCs/>
          <w:szCs w:val="24"/>
        </w:rPr>
      </w:pPr>
      <w:r w:rsidRPr="000373E6">
        <w:rPr>
          <w:rFonts w:ascii="Arial" w:hAnsi="Arial" w:cs="Arial"/>
          <w:b/>
          <w:bCs/>
          <w:szCs w:val="24"/>
        </w:rPr>
        <w:t xml:space="preserve">The Specialist </w:t>
      </w:r>
      <w:r w:rsidR="004B1814" w:rsidRPr="000373E6">
        <w:rPr>
          <w:rFonts w:ascii="Arial" w:hAnsi="Arial" w:cs="Arial"/>
          <w:b/>
          <w:bCs/>
          <w:szCs w:val="24"/>
        </w:rPr>
        <w:t xml:space="preserve">Physician </w:t>
      </w:r>
      <w:r w:rsidRPr="000373E6">
        <w:rPr>
          <w:rFonts w:ascii="Arial" w:hAnsi="Arial" w:cs="Arial"/>
          <w:b/>
          <w:bCs/>
          <w:szCs w:val="24"/>
        </w:rPr>
        <w:t>Ratio Standards and Methodolog</w:t>
      </w:r>
      <w:r w:rsidR="004B1814" w:rsidRPr="000373E6">
        <w:rPr>
          <w:rFonts w:ascii="Arial" w:hAnsi="Arial" w:cs="Arial"/>
          <w:b/>
          <w:bCs/>
          <w:szCs w:val="24"/>
        </w:rPr>
        <w:t>y documents contain information about alternative methodologies</w:t>
      </w:r>
      <w:r w:rsidRPr="000373E6">
        <w:rPr>
          <w:rFonts w:ascii="Arial" w:hAnsi="Arial" w:cs="Arial"/>
          <w:b/>
          <w:bCs/>
          <w:szCs w:val="24"/>
        </w:rPr>
        <w:t>. Are these alternative methodologies automatically applied when the plan does not meet an applicable ratio standard?</w:t>
      </w:r>
    </w:p>
    <w:p w14:paraId="02694A67" w14:textId="4C8202DB" w:rsidR="005A0754" w:rsidRDefault="00BB58BB" w:rsidP="00B54DDF">
      <w:pPr>
        <w:spacing w:after="240"/>
        <w:ind w:left="720"/>
        <w:rPr>
          <w:rFonts w:ascii="Arial" w:hAnsi="Arial" w:cs="Arial"/>
          <w:szCs w:val="24"/>
        </w:rPr>
      </w:pPr>
      <w:r w:rsidRPr="00AE43E9">
        <w:rPr>
          <w:rFonts w:ascii="Arial" w:hAnsi="Arial" w:cs="Arial"/>
          <w:szCs w:val="24"/>
        </w:rPr>
        <w:t xml:space="preserve">The DMHC has </w:t>
      </w:r>
      <w:r w:rsidR="004B1814">
        <w:rPr>
          <w:rFonts w:ascii="Arial" w:hAnsi="Arial" w:cs="Arial"/>
          <w:szCs w:val="24"/>
        </w:rPr>
        <w:t>developed</w:t>
      </w:r>
      <w:r w:rsidRPr="00AE43E9">
        <w:rPr>
          <w:rFonts w:ascii="Arial" w:hAnsi="Arial" w:cs="Arial"/>
          <w:szCs w:val="24"/>
        </w:rPr>
        <w:t xml:space="preserve"> standards of accessibility that ensure patients have appropriate access to care and that take into consideration the diverse geography and health care delivery models present in the state. Rather than create a set of one-size-fits-all standards, the DMHC developed standards that are effective in most scenarios</w:t>
      </w:r>
      <w:r w:rsidR="004B1814">
        <w:rPr>
          <w:rFonts w:ascii="Arial" w:hAnsi="Arial" w:cs="Arial"/>
          <w:szCs w:val="24"/>
        </w:rPr>
        <w:t>.</w:t>
      </w:r>
    </w:p>
    <w:p w14:paraId="1C580246" w14:textId="32B47090" w:rsidR="00EF1F54" w:rsidRPr="00AE43E9" w:rsidRDefault="001C388D" w:rsidP="00B54DDF">
      <w:pPr>
        <w:spacing w:after="240"/>
        <w:ind w:left="720"/>
        <w:rPr>
          <w:rFonts w:ascii="Arial" w:hAnsi="Arial" w:cs="Arial"/>
          <w:szCs w:val="24"/>
        </w:rPr>
      </w:pPr>
      <w:r>
        <w:rPr>
          <w:rFonts w:ascii="Arial" w:hAnsi="Arial" w:cs="Arial"/>
          <w:szCs w:val="24"/>
        </w:rPr>
        <w:t xml:space="preserve">Where a plan is unable to meet the established standard, the DMHC will determine whether an alternative methodology applies. </w:t>
      </w:r>
      <w:r w:rsidR="00EF1F54">
        <w:rPr>
          <w:rFonts w:ascii="Arial" w:hAnsi="Arial" w:cs="Arial"/>
          <w:szCs w:val="24"/>
        </w:rPr>
        <w:t>Alternative standards</w:t>
      </w:r>
      <w:r w:rsidR="00EF1F54" w:rsidRPr="00AE43E9">
        <w:rPr>
          <w:rFonts w:ascii="Arial" w:hAnsi="Arial" w:cs="Arial"/>
          <w:szCs w:val="24"/>
        </w:rPr>
        <w:t xml:space="preserve"> are only applicable when specific factors are present in a plan's network data that indicate a plan may be meeting provider capacity in the county through methods not captured by the standard. If one or more of these factors are present, it is a signal that </w:t>
      </w:r>
      <w:r w:rsidR="003243DC">
        <w:rPr>
          <w:rFonts w:ascii="Arial" w:hAnsi="Arial" w:cs="Arial"/>
          <w:szCs w:val="24"/>
        </w:rPr>
        <w:t xml:space="preserve">the provider type </w:t>
      </w:r>
      <w:r w:rsidR="00EF1F54" w:rsidRPr="00AE43E9">
        <w:rPr>
          <w:rFonts w:ascii="Arial" w:hAnsi="Arial" w:cs="Arial"/>
          <w:szCs w:val="24"/>
        </w:rPr>
        <w:t xml:space="preserve">may need to be evaluated </w:t>
      </w:r>
      <w:r w:rsidR="003243DC">
        <w:rPr>
          <w:rFonts w:ascii="Arial" w:hAnsi="Arial" w:cs="Arial"/>
          <w:szCs w:val="24"/>
        </w:rPr>
        <w:t xml:space="preserve">for capacity using the </w:t>
      </w:r>
      <w:r w:rsidR="00EF1F54" w:rsidRPr="00AE43E9">
        <w:rPr>
          <w:rFonts w:ascii="Arial" w:hAnsi="Arial" w:cs="Arial"/>
          <w:szCs w:val="24"/>
        </w:rPr>
        <w:t xml:space="preserve">alternative </w:t>
      </w:r>
      <w:r w:rsidR="003243DC">
        <w:rPr>
          <w:rFonts w:ascii="Arial" w:hAnsi="Arial" w:cs="Arial"/>
          <w:szCs w:val="24"/>
        </w:rPr>
        <w:t>methodology</w:t>
      </w:r>
      <w:r w:rsidR="00EF1F54" w:rsidRPr="00AE43E9">
        <w:rPr>
          <w:rFonts w:ascii="Arial" w:hAnsi="Arial" w:cs="Arial"/>
          <w:szCs w:val="24"/>
        </w:rPr>
        <w:t>.</w:t>
      </w:r>
    </w:p>
    <w:p w14:paraId="775BFB64" w14:textId="77777777" w:rsidR="001C388D" w:rsidRPr="00B545E2" w:rsidRDefault="001C388D" w:rsidP="00B54DDF">
      <w:pPr>
        <w:spacing w:after="240"/>
        <w:ind w:left="720"/>
        <w:rPr>
          <w:rFonts w:ascii="Arial" w:hAnsi="Arial" w:cs="Arial"/>
          <w:szCs w:val="24"/>
        </w:rPr>
      </w:pPr>
      <w:r>
        <w:rPr>
          <w:rFonts w:ascii="Arial" w:hAnsi="Arial" w:cs="Arial"/>
          <w:szCs w:val="24"/>
        </w:rPr>
        <w:t xml:space="preserve">Plans do not need to request application of an alternative methodology. If the plan’s specific circumstances qualify the network for consideration under an alternative methodology, the DMHC will automatically </w:t>
      </w:r>
      <w:r w:rsidR="008347C5">
        <w:rPr>
          <w:rFonts w:ascii="Arial" w:hAnsi="Arial" w:cs="Arial"/>
          <w:szCs w:val="24"/>
        </w:rPr>
        <w:t xml:space="preserve">review the network </w:t>
      </w:r>
      <w:r w:rsidR="00CA6F67" w:rsidRPr="00B545E2">
        <w:rPr>
          <w:rFonts w:ascii="Arial" w:hAnsi="Arial" w:cs="Arial"/>
          <w:szCs w:val="24"/>
        </w:rPr>
        <w:t>accordingly</w:t>
      </w:r>
      <w:r w:rsidRPr="00B545E2">
        <w:rPr>
          <w:rFonts w:ascii="Arial" w:hAnsi="Arial" w:cs="Arial"/>
          <w:szCs w:val="24"/>
        </w:rPr>
        <w:t>.</w:t>
      </w:r>
    </w:p>
    <w:p w14:paraId="1EC81282" w14:textId="4F4F1875" w:rsidR="001C388D" w:rsidRPr="00B545E2" w:rsidRDefault="001C388D" w:rsidP="00B54DDF">
      <w:pPr>
        <w:numPr>
          <w:ilvl w:val="0"/>
          <w:numId w:val="39"/>
        </w:numPr>
        <w:spacing w:after="240"/>
        <w:rPr>
          <w:rFonts w:ascii="Arial" w:hAnsi="Arial" w:cs="Arial"/>
          <w:b/>
          <w:bCs/>
          <w:szCs w:val="24"/>
        </w:rPr>
      </w:pPr>
      <w:r w:rsidRPr="00B545E2">
        <w:rPr>
          <w:rFonts w:ascii="Arial" w:hAnsi="Arial" w:cs="Arial"/>
          <w:b/>
          <w:bCs/>
          <w:szCs w:val="24"/>
        </w:rPr>
        <w:t>If a Plan cannot meet the established ratio standard, may it request an alternative standard?</w:t>
      </w:r>
    </w:p>
    <w:p w14:paraId="7C7ABD58" w14:textId="565D801D" w:rsidR="001C388D" w:rsidRPr="00B545E2" w:rsidRDefault="00EF1F54" w:rsidP="00E0607D">
      <w:pPr>
        <w:spacing w:after="240"/>
        <w:ind w:left="720"/>
        <w:rPr>
          <w:rFonts w:ascii="Arial" w:hAnsi="Arial" w:cs="Arial"/>
          <w:szCs w:val="24"/>
        </w:rPr>
      </w:pPr>
      <w:r w:rsidRPr="00B545E2">
        <w:rPr>
          <w:rFonts w:ascii="Arial" w:hAnsi="Arial" w:cs="Arial"/>
          <w:szCs w:val="24"/>
        </w:rPr>
        <w:t xml:space="preserve">Plans cannot file individual requests for alternative specialist physician ratio standards. </w:t>
      </w:r>
      <w:r w:rsidR="001C388D" w:rsidRPr="00B545E2">
        <w:rPr>
          <w:rFonts w:ascii="Arial" w:hAnsi="Arial" w:cs="Arial"/>
          <w:szCs w:val="24"/>
        </w:rPr>
        <w:t xml:space="preserve">Rule 1300.67.2.1 does not apply to the specialist physician ratio standards and under the methodology noticed in APL </w:t>
      </w:r>
      <w:r w:rsidR="001C388D" w:rsidRPr="009F4B7F">
        <w:rPr>
          <w:rFonts w:ascii="Arial" w:hAnsi="Arial" w:cs="Arial"/>
          <w:szCs w:val="24"/>
        </w:rPr>
        <w:t>24-</w:t>
      </w:r>
      <w:r w:rsidR="00AF2D14">
        <w:rPr>
          <w:rFonts w:ascii="Arial" w:hAnsi="Arial" w:cs="Arial"/>
          <w:szCs w:val="24"/>
        </w:rPr>
        <w:t>021</w:t>
      </w:r>
      <w:r w:rsidR="001C388D" w:rsidRPr="009F4B7F">
        <w:rPr>
          <w:rFonts w:ascii="Arial" w:hAnsi="Arial" w:cs="Arial"/>
          <w:szCs w:val="24"/>
        </w:rPr>
        <w:t xml:space="preserve"> (De</w:t>
      </w:r>
      <w:r w:rsidR="001C388D" w:rsidRPr="00B545E2">
        <w:rPr>
          <w:rFonts w:ascii="Arial" w:hAnsi="Arial" w:cs="Arial"/>
          <w:szCs w:val="24"/>
        </w:rPr>
        <w:t>cember 12, 2024).</w:t>
      </w:r>
    </w:p>
    <w:p w14:paraId="0BBEDB0C" w14:textId="77777777" w:rsidR="00EF1F54" w:rsidRDefault="00BB58BB" w:rsidP="00B54DDF">
      <w:pPr>
        <w:spacing w:after="240"/>
        <w:ind w:left="720"/>
        <w:rPr>
          <w:rFonts w:ascii="Arial" w:hAnsi="Arial" w:cs="Arial"/>
          <w:szCs w:val="24"/>
        </w:rPr>
      </w:pPr>
      <w:r w:rsidRPr="00B545E2">
        <w:rPr>
          <w:rFonts w:ascii="Arial" w:hAnsi="Arial" w:cs="Arial"/>
          <w:szCs w:val="24"/>
        </w:rPr>
        <w:t>The alternative ratio standards for specialist physicians are set forth in Schedules D through D-6 of the Specialist Ratio Standards and Methodology for RY 2025</w:t>
      </w:r>
      <w:r w:rsidR="004B1814" w:rsidRPr="00B545E2">
        <w:rPr>
          <w:rFonts w:ascii="Arial" w:hAnsi="Arial" w:cs="Arial"/>
          <w:szCs w:val="24"/>
        </w:rPr>
        <w:t>.</w:t>
      </w:r>
      <w:r w:rsidR="00EF1F54" w:rsidRPr="00B545E2">
        <w:rPr>
          <w:rFonts w:ascii="Arial" w:hAnsi="Arial" w:cs="Arial"/>
          <w:szCs w:val="24"/>
        </w:rPr>
        <w:t xml:space="preserve"> Alternative methodologies accommodate</w:t>
      </w:r>
      <w:r w:rsidR="00EF1F54" w:rsidRPr="001C388D">
        <w:rPr>
          <w:rFonts w:ascii="Arial" w:hAnsi="Arial" w:cs="Arial"/>
          <w:szCs w:val="24"/>
        </w:rPr>
        <w:t xml:space="preserve"> common reasons for variation in health care delivery in California. The use of established alternative methodologies and standards rather than a case-by-case review for alternative access increases transparency in the granting of alternative standards and ensures the equal application of alternative standards to all plans. </w:t>
      </w:r>
      <w:r w:rsidR="00EF1F54" w:rsidRPr="001D0FF8">
        <w:rPr>
          <w:rFonts w:ascii="Arial" w:hAnsi="Arial" w:cs="Arial"/>
          <w:szCs w:val="24"/>
        </w:rPr>
        <w:t>An established set of alternative standards and methodologies also</w:t>
      </w:r>
      <w:r w:rsidR="00EF1F54" w:rsidRPr="00AE43E9">
        <w:rPr>
          <w:rFonts w:ascii="Arial" w:hAnsi="Arial" w:cs="Arial"/>
          <w:szCs w:val="24"/>
        </w:rPr>
        <w:t xml:space="preserve"> allows for predictable and more expedient application of alternative access standards.</w:t>
      </w:r>
    </w:p>
    <w:p w14:paraId="33E61B6D" w14:textId="77777777" w:rsidR="00FB241E" w:rsidRPr="001D0FF8" w:rsidRDefault="00FB241E" w:rsidP="00B54DDF">
      <w:pPr>
        <w:numPr>
          <w:ilvl w:val="0"/>
          <w:numId w:val="39"/>
        </w:numPr>
        <w:spacing w:after="240"/>
        <w:rPr>
          <w:rFonts w:ascii="Arial" w:hAnsi="Arial" w:cs="Arial"/>
          <w:b/>
          <w:bCs/>
          <w:szCs w:val="24"/>
        </w:rPr>
      </w:pPr>
      <w:r w:rsidRPr="001D0FF8">
        <w:rPr>
          <w:rFonts w:ascii="Arial" w:hAnsi="Arial" w:cs="Arial"/>
          <w:b/>
          <w:bCs/>
          <w:szCs w:val="24"/>
        </w:rPr>
        <w:lastRenderedPageBreak/>
        <w:t xml:space="preserve">If a network does not meet a Specialist Physician Ratio Standard, </w:t>
      </w:r>
      <w:r w:rsidR="00821BD4" w:rsidRPr="001D0FF8">
        <w:rPr>
          <w:rFonts w:ascii="Arial" w:hAnsi="Arial" w:cs="Arial"/>
          <w:b/>
          <w:bCs/>
          <w:szCs w:val="24"/>
        </w:rPr>
        <w:t>how does the DMHC determine if the alternative methodology for</w:t>
      </w:r>
      <w:r w:rsidRPr="001D0FF8">
        <w:rPr>
          <w:rFonts w:ascii="Arial" w:hAnsi="Arial" w:cs="Arial"/>
          <w:b/>
          <w:bCs/>
          <w:szCs w:val="24"/>
        </w:rPr>
        <w:t xml:space="preserve"> "</w:t>
      </w:r>
      <w:r w:rsidR="00821BD4" w:rsidRPr="001D0FF8">
        <w:rPr>
          <w:rFonts w:ascii="Arial" w:hAnsi="Arial" w:cs="Arial"/>
          <w:b/>
          <w:bCs/>
          <w:szCs w:val="24"/>
        </w:rPr>
        <w:t>e</w:t>
      </w:r>
      <w:r w:rsidRPr="001D0FF8">
        <w:rPr>
          <w:rFonts w:ascii="Arial" w:hAnsi="Arial" w:cs="Arial"/>
          <w:b/>
          <w:bCs/>
          <w:szCs w:val="24"/>
        </w:rPr>
        <w:t xml:space="preserve">xclusive </w:t>
      </w:r>
      <w:r w:rsidR="00821BD4" w:rsidRPr="001D0FF8">
        <w:rPr>
          <w:rFonts w:ascii="Arial" w:hAnsi="Arial" w:cs="Arial"/>
          <w:b/>
          <w:bCs/>
          <w:szCs w:val="24"/>
        </w:rPr>
        <w:t>p</w:t>
      </w:r>
      <w:r w:rsidRPr="001D0FF8">
        <w:rPr>
          <w:rFonts w:ascii="Arial" w:hAnsi="Arial" w:cs="Arial"/>
          <w:b/>
          <w:bCs/>
          <w:szCs w:val="24"/>
        </w:rPr>
        <w:t>roviders"</w:t>
      </w:r>
      <w:r w:rsidR="00821BD4" w:rsidRPr="001D0FF8">
        <w:rPr>
          <w:rFonts w:ascii="Arial" w:hAnsi="Arial" w:cs="Arial"/>
          <w:b/>
          <w:bCs/>
          <w:szCs w:val="24"/>
        </w:rPr>
        <w:t xml:space="preserve"> applies?</w:t>
      </w:r>
      <w:r w:rsidRPr="001D0FF8">
        <w:rPr>
          <w:rFonts w:ascii="Arial" w:hAnsi="Arial" w:cs="Arial"/>
          <w:b/>
          <w:bCs/>
          <w:szCs w:val="24"/>
        </w:rPr>
        <w:t xml:space="preserve"> </w:t>
      </w:r>
      <w:r w:rsidR="00821BD4" w:rsidRPr="001D0FF8">
        <w:rPr>
          <w:rFonts w:ascii="Arial" w:hAnsi="Arial" w:cs="Arial"/>
          <w:b/>
          <w:bCs/>
          <w:szCs w:val="24"/>
        </w:rPr>
        <w:t>H</w:t>
      </w:r>
      <w:r w:rsidRPr="001D0FF8">
        <w:rPr>
          <w:rFonts w:ascii="Arial" w:hAnsi="Arial" w:cs="Arial"/>
          <w:b/>
          <w:bCs/>
          <w:szCs w:val="24"/>
        </w:rPr>
        <w:t xml:space="preserve">ow do health plans know if their </w:t>
      </w:r>
      <w:r w:rsidR="00A46BDA" w:rsidRPr="001D0FF8">
        <w:rPr>
          <w:rFonts w:ascii="Arial" w:hAnsi="Arial" w:cs="Arial"/>
          <w:b/>
          <w:bCs/>
          <w:szCs w:val="24"/>
        </w:rPr>
        <w:t xml:space="preserve">network </w:t>
      </w:r>
      <w:r w:rsidRPr="001D0FF8">
        <w:rPr>
          <w:rFonts w:ascii="Arial" w:hAnsi="Arial" w:cs="Arial"/>
          <w:b/>
          <w:bCs/>
          <w:szCs w:val="24"/>
        </w:rPr>
        <w:t>providers are exclusive providers?</w:t>
      </w:r>
    </w:p>
    <w:p w14:paraId="1DB6E3B1" w14:textId="096794CF" w:rsidR="00A735E9" w:rsidRDefault="00FB241E" w:rsidP="00B54DDF">
      <w:pPr>
        <w:pStyle w:val="ListParagraph"/>
        <w:spacing w:after="240"/>
        <w:contextualSpacing w:val="0"/>
        <w:rPr>
          <w:rFonts w:ascii="Arial" w:hAnsi="Arial" w:cs="Arial"/>
          <w:sz w:val="24"/>
          <w:szCs w:val="24"/>
        </w:rPr>
      </w:pPr>
      <w:r w:rsidRPr="00AE43E9">
        <w:rPr>
          <w:rFonts w:ascii="Arial" w:hAnsi="Arial" w:cs="Arial"/>
          <w:sz w:val="24"/>
          <w:szCs w:val="24"/>
        </w:rPr>
        <w:t>When evaluating a plan network for applicability of an alternative methodology pertaining to the specialist physician ratio standards, the DMHC evaluates the network for the presence of exclusive providers using the methodology set forth in Schedule D</w:t>
      </w:r>
      <w:r w:rsidR="00584A08">
        <w:rPr>
          <w:rFonts w:ascii="Arial" w:hAnsi="Arial" w:cs="Arial"/>
          <w:sz w:val="24"/>
          <w:szCs w:val="24"/>
        </w:rPr>
        <w:t>-2</w:t>
      </w:r>
      <w:r w:rsidRPr="00AE43E9">
        <w:rPr>
          <w:rFonts w:ascii="Arial" w:hAnsi="Arial" w:cs="Arial"/>
          <w:sz w:val="24"/>
          <w:szCs w:val="24"/>
        </w:rPr>
        <w:t xml:space="preserve">, attached to the Specialist </w:t>
      </w:r>
      <w:r w:rsidR="00A46BDA">
        <w:rPr>
          <w:rFonts w:ascii="Arial" w:hAnsi="Arial" w:cs="Arial"/>
          <w:sz w:val="24"/>
          <w:szCs w:val="24"/>
        </w:rPr>
        <w:t xml:space="preserve">Physician </w:t>
      </w:r>
      <w:r w:rsidRPr="00AE43E9">
        <w:rPr>
          <w:rFonts w:ascii="Arial" w:hAnsi="Arial" w:cs="Arial"/>
          <w:sz w:val="24"/>
          <w:szCs w:val="24"/>
        </w:rPr>
        <w:t>Ratio Standards and Methodology for RY 2025.</w:t>
      </w:r>
      <w:r w:rsidR="00584A08">
        <w:rPr>
          <w:rFonts w:ascii="Arial" w:hAnsi="Arial" w:cs="Arial"/>
          <w:sz w:val="24"/>
          <w:szCs w:val="24"/>
        </w:rPr>
        <w:t xml:space="preserve"> </w:t>
      </w:r>
      <w:r w:rsidRPr="00AE43E9">
        <w:rPr>
          <w:rFonts w:ascii="Arial" w:hAnsi="Arial" w:cs="Arial"/>
          <w:sz w:val="24"/>
          <w:szCs w:val="24"/>
        </w:rPr>
        <w:t xml:space="preserve">A network provider is considered an exclusive provider if the provider is not a network provider for other reporting plans for the reporting year. </w:t>
      </w:r>
      <w:r w:rsidR="00584A08">
        <w:rPr>
          <w:rFonts w:ascii="Arial" w:hAnsi="Arial" w:cs="Arial"/>
          <w:sz w:val="24"/>
          <w:szCs w:val="24"/>
        </w:rPr>
        <w:t>A</w:t>
      </w:r>
      <w:r w:rsidRPr="00AE43E9">
        <w:rPr>
          <w:rFonts w:ascii="Arial" w:hAnsi="Arial" w:cs="Arial"/>
          <w:sz w:val="24"/>
          <w:szCs w:val="24"/>
        </w:rPr>
        <w:t xml:space="preserve"> plan will receive credit for an exclusive provider if the </w:t>
      </w:r>
      <w:r w:rsidR="00A735E9">
        <w:rPr>
          <w:rFonts w:ascii="Arial" w:hAnsi="Arial" w:cs="Arial"/>
          <w:sz w:val="24"/>
          <w:szCs w:val="24"/>
        </w:rPr>
        <w:t xml:space="preserve">Annual Network </w:t>
      </w:r>
      <w:r w:rsidRPr="00AE43E9">
        <w:rPr>
          <w:rFonts w:ascii="Arial" w:hAnsi="Arial" w:cs="Arial"/>
          <w:sz w:val="24"/>
          <w:szCs w:val="24"/>
        </w:rPr>
        <w:t>data demonstrates the provider is not a network provider for other reporting plans.</w:t>
      </w:r>
    </w:p>
    <w:p w14:paraId="0C49AE88" w14:textId="77777777" w:rsidR="008C1A99" w:rsidRPr="00A46BDA" w:rsidRDefault="001D0FF8" w:rsidP="00483B95">
      <w:pPr>
        <w:pStyle w:val="ListParagraph"/>
        <w:spacing w:after="240"/>
        <w:contextualSpacing w:val="0"/>
        <w:rPr>
          <w:rFonts w:ascii="Arial" w:hAnsi="Arial" w:cs="Arial"/>
          <w:sz w:val="24"/>
          <w:szCs w:val="24"/>
        </w:rPr>
      </w:pPr>
      <w:r>
        <w:rPr>
          <w:rFonts w:ascii="Arial" w:hAnsi="Arial" w:cs="Arial"/>
          <w:sz w:val="24"/>
          <w:szCs w:val="24"/>
        </w:rPr>
        <w:t>When</w:t>
      </w:r>
      <w:r w:rsidR="00FB241E" w:rsidRPr="00AE43E9">
        <w:rPr>
          <w:rFonts w:ascii="Arial" w:hAnsi="Arial" w:cs="Arial"/>
          <w:sz w:val="24"/>
          <w:szCs w:val="24"/>
        </w:rPr>
        <w:t xml:space="preserve"> conducting its own monitoring, the plan can rely on exclusive providers to meet network adequacy if the plan has knowledge that a network provider has specifically contracted in an exclusive arrangement with the plan.</w:t>
      </w:r>
      <w:r w:rsidR="00584A08">
        <w:rPr>
          <w:rFonts w:ascii="Arial" w:hAnsi="Arial" w:cs="Arial"/>
          <w:sz w:val="24"/>
          <w:szCs w:val="24"/>
        </w:rPr>
        <w:t xml:space="preserve"> </w:t>
      </w:r>
      <w:r w:rsidR="00852861">
        <w:rPr>
          <w:rFonts w:ascii="Arial" w:hAnsi="Arial" w:cs="Arial"/>
          <w:sz w:val="24"/>
          <w:szCs w:val="24"/>
        </w:rPr>
        <w:t>P</w:t>
      </w:r>
      <w:r w:rsidR="00584A08">
        <w:rPr>
          <w:rFonts w:ascii="Arial" w:hAnsi="Arial" w:cs="Arial"/>
          <w:sz w:val="24"/>
          <w:szCs w:val="24"/>
        </w:rPr>
        <w:t xml:space="preserve">lans may also </w:t>
      </w:r>
      <w:r w:rsidR="00F10C07">
        <w:rPr>
          <w:rFonts w:ascii="Arial" w:hAnsi="Arial" w:cs="Arial"/>
          <w:sz w:val="24"/>
          <w:szCs w:val="24"/>
        </w:rPr>
        <w:t xml:space="preserve">use other public sources of provider contracting data to conduct their own analysis of provider exclusivity (e.g. Medi-Cal enrolled provider data, other plan directories, </w:t>
      </w:r>
      <w:r w:rsidR="00CA6F67">
        <w:rPr>
          <w:rFonts w:ascii="Arial" w:hAnsi="Arial" w:cs="Arial"/>
          <w:sz w:val="24"/>
          <w:szCs w:val="24"/>
        </w:rPr>
        <w:t xml:space="preserve">and </w:t>
      </w:r>
      <w:r w:rsidR="00F10C07">
        <w:rPr>
          <w:rFonts w:ascii="Arial" w:hAnsi="Arial" w:cs="Arial"/>
          <w:sz w:val="24"/>
          <w:szCs w:val="24"/>
        </w:rPr>
        <w:t>provider data sets maintained by the Centers for Medicare and Medicaid Services).</w:t>
      </w:r>
    </w:p>
    <w:p w14:paraId="01B957D9" w14:textId="03DBEC81" w:rsidR="00AB21A3" w:rsidRPr="005103A7" w:rsidRDefault="000B293F" w:rsidP="00B54DDF">
      <w:pPr>
        <w:pStyle w:val="Heading2"/>
      </w:pPr>
      <w:r w:rsidRPr="005103A7">
        <w:t>Required Network Provider Types</w:t>
      </w:r>
    </w:p>
    <w:p w14:paraId="3E6BDB67" w14:textId="65C47AF3" w:rsidR="000B293F" w:rsidRPr="00B545E2" w:rsidRDefault="00AE43E9" w:rsidP="00483B95">
      <w:pPr>
        <w:pStyle w:val="ListParagraph"/>
        <w:numPr>
          <w:ilvl w:val="0"/>
          <w:numId w:val="32"/>
        </w:numPr>
        <w:spacing w:after="240"/>
        <w:ind w:hanging="720"/>
        <w:contextualSpacing w:val="0"/>
        <w:rPr>
          <w:rFonts w:ascii="Arial" w:hAnsi="Arial" w:cs="Arial"/>
          <w:b/>
          <w:bCs/>
          <w:sz w:val="24"/>
          <w:szCs w:val="24"/>
        </w:rPr>
      </w:pPr>
      <w:r w:rsidRPr="00B545E2">
        <w:rPr>
          <w:rFonts w:ascii="Arial" w:hAnsi="Arial" w:cs="Arial"/>
          <w:b/>
          <w:bCs/>
          <w:sz w:val="24"/>
          <w:szCs w:val="24"/>
        </w:rPr>
        <w:t xml:space="preserve">Are emergency </w:t>
      </w:r>
      <w:r w:rsidR="00A735E9" w:rsidRPr="00B545E2">
        <w:rPr>
          <w:rFonts w:ascii="Arial" w:hAnsi="Arial" w:cs="Arial"/>
          <w:b/>
          <w:bCs/>
          <w:sz w:val="24"/>
          <w:szCs w:val="24"/>
        </w:rPr>
        <w:t>medicine</w:t>
      </w:r>
      <w:r w:rsidRPr="00B545E2">
        <w:rPr>
          <w:rFonts w:ascii="Arial" w:hAnsi="Arial" w:cs="Arial"/>
          <w:b/>
          <w:bCs/>
          <w:sz w:val="24"/>
          <w:szCs w:val="24"/>
        </w:rPr>
        <w:t xml:space="preserve"> physicians a required network provider type?</w:t>
      </w:r>
    </w:p>
    <w:p w14:paraId="4ACCC168" w14:textId="4B3A49CE" w:rsidR="007363A9" w:rsidRDefault="005103A7" w:rsidP="00483B95">
      <w:pPr>
        <w:pStyle w:val="ListParagraph"/>
        <w:spacing w:after="240"/>
        <w:contextualSpacing w:val="0"/>
        <w:rPr>
          <w:rFonts w:ascii="Arial" w:hAnsi="Arial" w:cs="Arial"/>
          <w:sz w:val="24"/>
          <w:szCs w:val="24"/>
        </w:rPr>
      </w:pPr>
      <w:r>
        <w:rPr>
          <w:rFonts w:ascii="Arial" w:hAnsi="Arial" w:cs="Arial"/>
          <w:sz w:val="24"/>
          <w:szCs w:val="24"/>
        </w:rPr>
        <w:t>Yes, e</w:t>
      </w:r>
      <w:r w:rsidR="00AE43E9" w:rsidRPr="00AE43E9">
        <w:rPr>
          <w:rFonts w:ascii="Arial" w:hAnsi="Arial" w:cs="Arial"/>
          <w:sz w:val="24"/>
          <w:szCs w:val="24"/>
        </w:rPr>
        <w:t>mergency</w:t>
      </w:r>
      <w:r w:rsidR="00A735E9">
        <w:rPr>
          <w:rFonts w:ascii="Arial" w:hAnsi="Arial" w:cs="Arial"/>
          <w:sz w:val="24"/>
          <w:szCs w:val="24"/>
        </w:rPr>
        <w:t xml:space="preserve"> medicine</w:t>
      </w:r>
      <w:r w:rsidR="00AE43E9" w:rsidRPr="00AE43E9">
        <w:rPr>
          <w:rFonts w:ascii="Arial" w:hAnsi="Arial" w:cs="Arial"/>
          <w:sz w:val="24"/>
          <w:szCs w:val="24"/>
        </w:rPr>
        <w:t xml:space="preserve"> physicians are a required network provider type set forth </w:t>
      </w:r>
      <w:r w:rsidR="00CA6F67">
        <w:rPr>
          <w:rFonts w:ascii="Arial" w:hAnsi="Arial" w:cs="Arial"/>
          <w:sz w:val="24"/>
          <w:szCs w:val="24"/>
        </w:rPr>
        <w:t xml:space="preserve">in </w:t>
      </w:r>
      <w:r w:rsidR="00AE43E9" w:rsidRPr="00AE43E9">
        <w:rPr>
          <w:rFonts w:ascii="Arial" w:hAnsi="Arial" w:cs="Arial"/>
          <w:sz w:val="24"/>
          <w:szCs w:val="24"/>
        </w:rPr>
        <w:t xml:space="preserve">Rule 1300.67.2(b) and the incorporated Required Network Provider Types </w:t>
      </w:r>
      <w:r w:rsidR="000B293F" w:rsidRPr="00AE43E9">
        <w:rPr>
          <w:rFonts w:ascii="Arial" w:hAnsi="Arial" w:cs="Arial"/>
          <w:sz w:val="24"/>
          <w:szCs w:val="24"/>
        </w:rPr>
        <w:t>document</w:t>
      </w:r>
      <w:r w:rsidR="00AE43E9" w:rsidRPr="00AE43E9">
        <w:rPr>
          <w:rFonts w:ascii="Arial" w:hAnsi="Arial" w:cs="Arial"/>
          <w:sz w:val="24"/>
          <w:szCs w:val="24"/>
        </w:rPr>
        <w:t xml:space="preserve">. </w:t>
      </w:r>
      <w:r w:rsidR="00F10C07">
        <w:rPr>
          <w:rFonts w:ascii="Arial" w:hAnsi="Arial" w:cs="Arial"/>
          <w:sz w:val="24"/>
          <w:szCs w:val="24"/>
        </w:rPr>
        <w:t>Pursuant to Rules 1300.67.2 and 1300.67.2.2, all covered services must be available through in-network providers</w:t>
      </w:r>
      <w:r w:rsidR="00AE43E9" w:rsidRPr="00AE43E9">
        <w:rPr>
          <w:rFonts w:ascii="Arial" w:hAnsi="Arial" w:cs="Arial"/>
          <w:sz w:val="24"/>
          <w:szCs w:val="24"/>
        </w:rPr>
        <w:t>.</w:t>
      </w:r>
      <w:r w:rsidR="00F553B2">
        <w:rPr>
          <w:rFonts w:ascii="Arial" w:hAnsi="Arial" w:cs="Arial"/>
          <w:sz w:val="24"/>
          <w:szCs w:val="24"/>
        </w:rPr>
        <w:t xml:space="preserve"> Emergency care is a covered service pursuant to Rule 1300.67, therefore</w:t>
      </w:r>
      <w:r w:rsidR="00AE43E9" w:rsidRPr="00AE43E9">
        <w:rPr>
          <w:rFonts w:ascii="Arial" w:hAnsi="Arial" w:cs="Arial"/>
          <w:sz w:val="24"/>
          <w:szCs w:val="24"/>
        </w:rPr>
        <w:t xml:space="preserve"> </w:t>
      </w:r>
      <w:r w:rsidR="00F553B2">
        <w:rPr>
          <w:rFonts w:ascii="Arial" w:hAnsi="Arial" w:cs="Arial"/>
          <w:sz w:val="24"/>
          <w:szCs w:val="24"/>
        </w:rPr>
        <w:t>p</w:t>
      </w:r>
      <w:r w:rsidR="00537537" w:rsidRPr="00AE43E9">
        <w:rPr>
          <w:rFonts w:ascii="Arial" w:hAnsi="Arial" w:cs="Arial"/>
          <w:sz w:val="24"/>
          <w:szCs w:val="24"/>
        </w:rPr>
        <w:t>lans have an obligation to make in-network emergency room physicians available and accessible to enrollees at in-network faciliti</w:t>
      </w:r>
      <w:r w:rsidR="00537537">
        <w:rPr>
          <w:rFonts w:ascii="Arial" w:hAnsi="Arial" w:cs="Arial"/>
          <w:sz w:val="24"/>
          <w:szCs w:val="24"/>
        </w:rPr>
        <w:t xml:space="preserve">es. </w:t>
      </w:r>
      <w:r w:rsidR="00162AD5">
        <w:rPr>
          <w:rFonts w:ascii="Arial" w:hAnsi="Arial" w:cs="Arial"/>
          <w:sz w:val="24"/>
          <w:szCs w:val="24"/>
        </w:rPr>
        <w:t>This</w:t>
      </w:r>
      <w:r w:rsidR="00AE43E9" w:rsidRPr="00AE43E9">
        <w:rPr>
          <w:rFonts w:ascii="Arial" w:hAnsi="Arial" w:cs="Arial"/>
          <w:sz w:val="24"/>
          <w:szCs w:val="24"/>
        </w:rPr>
        <w:t xml:space="preserve"> facilitates care coordination with the in-network primary care team and any specialists the enrollee is currently seeing. It can also help ensure an enrollee’s timely transition to non-emergency care if needed.</w:t>
      </w:r>
    </w:p>
    <w:p w14:paraId="2C248C19" w14:textId="2ABAB90B" w:rsidR="00162AD5" w:rsidRPr="00B545E2" w:rsidRDefault="00AE43E9" w:rsidP="00101E84">
      <w:pPr>
        <w:pStyle w:val="ListParagraph"/>
        <w:numPr>
          <w:ilvl w:val="0"/>
          <w:numId w:val="32"/>
        </w:numPr>
        <w:spacing w:after="240"/>
        <w:ind w:hanging="720"/>
        <w:contextualSpacing w:val="0"/>
        <w:rPr>
          <w:rFonts w:ascii="Arial" w:hAnsi="Arial" w:cs="Arial"/>
          <w:sz w:val="24"/>
          <w:szCs w:val="24"/>
        </w:rPr>
      </w:pPr>
      <w:r w:rsidRPr="00B545E2">
        <w:rPr>
          <w:rFonts w:ascii="Arial" w:hAnsi="Arial" w:cs="Arial"/>
          <w:b/>
          <w:bCs/>
          <w:sz w:val="24"/>
          <w:szCs w:val="24"/>
        </w:rPr>
        <w:t>Are licensed home health agencies a required network provider type?</w:t>
      </w:r>
    </w:p>
    <w:p w14:paraId="111F6258" w14:textId="07C87E3E" w:rsidR="00AE43E9" w:rsidRPr="00AE43E9" w:rsidRDefault="003B0292" w:rsidP="00101E84">
      <w:pPr>
        <w:pStyle w:val="ListParagraph"/>
        <w:spacing w:after="240"/>
        <w:contextualSpacing w:val="0"/>
        <w:rPr>
          <w:rFonts w:ascii="Arial" w:hAnsi="Arial" w:cs="Arial"/>
          <w:sz w:val="24"/>
          <w:szCs w:val="24"/>
        </w:rPr>
      </w:pPr>
      <w:r>
        <w:rPr>
          <w:rFonts w:ascii="Arial" w:hAnsi="Arial" w:cs="Arial"/>
          <w:sz w:val="24"/>
          <w:szCs w:val="24"/>
        </w:rPr>
        <w:t xml:space="preserve">Yes, </w:t>
      </w:r>
      <w:r w:rsidR="00AE43E9" w:rsidRPr="00AE43E9">
        <w:rPr>
          <w:rFonts w:ascii="Arial" w:hAnsi="Arial" w:cs="Arial"/>
          <w:sz w:val="24"/>
          <w:szCs w:val="24"/>
        </w:rPr>
        <w:t xml:space="preserve">a licensed home health agency (HHA) is listed as </w:t>
      </w:r>
      <w:r w:rsidR="00162AD5">
        <w:rPr>
          <w:rFonts w:ascii="Arial" w:hAnsi="Arial" w:cs="Arial"/>
          <w:sz w:val="24"/>
          <w:szCs w:val="24"/>
        </w:rPr>
        <w:t>a</w:t>
      </w:r>
      <w:r w:rsidR="00AE43E9" w:rsidRPr="00AE43E9">
        <w:rPr>
          <w:rFonts w:ascii="Arial" w:hAnsi="Arial" w:cs="Arial"/>
          <w:sz w:val="24"/>
          <w:szCs w:val="24"/>
        </w:rPr>
        <w:t xml:space="preserve"> required network provider type in the Required Network Provider Types document, incorporated by </w:t>
      </w:r>
      <w:r w:rsidR="00AE43E9" w:rsidRPr="00AE43E9">
        <w:rPr>
          <w:rFonts w:ascii="Arial" w:hAnsi="Arial" w:cs="Arial"/>
          <w:sz w:val="24"/>
          <w:szCs w:val="24"/>
        </w:rPr>
        <w:lastRenderedPageBreak/>
        <w:t>reference in Rule 1300.67.2.2(g). This term has been updated from "home health" to "licensed home health agency" to clarify the type of health care service required.</w:t>
      </w:r>
      <w:r w:rsidR="00E647F4">
        <w:rPr>
          <w:rFonts w:ascii="Arial" w:hAnsi="Arial" w:cs="Arial"/>
          <w:sz w:val="24"/>
          <w:szCs w:val="24"/>
        </w:rPr>
        <w:t xml:space="preserve"> Please see the</w:t>
      </w:r>
      <w:r w:rsidR="00B07475" w:rsidRPr="00A750F5">
        <w:rPr>
          <w:rFonts w:ascii="Arial" w:hAnsi="Arial" w:cs="Arial"/>
          <w:sz w:val="24"/>
          <w:szCs w:val="24"/>
        </w:rPr>
        <w:t xml:space="preserve"> </w:t>
      </w:r>
      <w:hyperlink r:id="rId12" w:history="1">
        <w:r w:rsidR="00B07475" w:rsidRPr="00B07475">
          <w:rPr>
            <w:rStyle w:val="Hyperlink"/>
            <w:rFonts w:ascii="Arial" w:hAnsi="Arial" w:cs="Arial"/>
            <w:sz w:val="24"/>
            <w:szCs w:val="24"/>
          </w:rPr>
          <w:t>California Department of Public Health's</w:t>
        </w:r>
      </w:hyperlink>
      <w:r w:rsidR="00E647F4">
        <w:rPr>
          <w:rFonts w:ascii="Arial" w:hAnsi="Arial" w:cs="Arial"/>
          <w:sz w:val="24"/>
          <w:szCs w:val="24"/>
        </w:rPr>
        <w:t xml:space="preserve"> website for a full description of a</w:t>
      </w:r>
      <w:r w:rsidR="00CA6F67">
        <w:rPr>
          <w:rFonts w:ascii="Arial" w:hAnsi="Arial" w:cs="Arial"/>
          <w:sz w:val="24"/>
          <w:szCs w:val="24"/>
        </w:rPr>
        <w:t>n</w:t>
      </w:r>
      <w:r w:rsidR="00E647F4">
        <w:rPr>
          <w:rFonts w:ascii="Arial" w:hAnsi="Arial" w:cs="Arial"/>
          <w:sz w:val="24"/>
          <w:szCs w:val="24"/>
        </w:rPr>
        <w:t xml:space="preserve"> HHA.</w:t>
      </w:r>
    </w:p>
    <w:p w14:paraId="7C0C737A" w14:textId="4AE5A638" w:rsidR="00FB241E" w:rsidRPr="002E2E5B" w:rsidRDefault="002E2E5B" w:rsidP="00C76645">
      <w:pPr>
        <w:pStyle w:val="ListParagraph"/>
        <w:numPr>
          <w:ilvl w:val="0"/>
          <w:numId w:val="32"/>
        </w:numPr>
        <w:spacing w:after="240"/>
        <w:ind w:left="720"/>
        <w:contextualSpacing w:val="0"/>
        <w:rPr>
          <w:rFonts w:ascii="Arial" w:hAnsi="Arial" w:cs="Arial"/>
          <w:b/>
          <w:bCs/>
          <w:sz w:val="24"/>
          <w:szCs w:val="24"/>
        </w:rPr>
      </w:pPr>
      <w:r w:rsidRPr="002E2E5B">
        <w:rPr>
          <w:rFonts w:ascii="Arial" w:hAnsi="Arial" w:cs="Arial"/>
          <w:b/>
          <w:bCs/>
          <w:sz w:val="24"/>
          <w:szCs w:val="24"/>
        </w:rPr>
        <w:t>Why are the</w:t>
      </w:r>
      <w:r w:rsidR="00AE43E9" w:rsidRPr="002E2E5B">
        <w:rPr>
          <w:rFonts w:ascii="Arial" w:hAnsi="Arial" w:cs="Arial"/>
          <w:b/>
          <w:bCs/>
          <w:sz w:val="24"/>
          <w:szCs w:val="24"/>
        </w:rPr>
        <w:t xml:space="preserve"> geographic access standards set forth in Rule 1300.67.2(c) </w:t>
      </w:r>
      <w:r w:rsidRPr="002E2E5B">
        <w:rPr>
          <w:rFonts w:ascii="Arial" w:hAnsi="Arial" w:cs="Arial"/>
          <w:b/>
          <w:bCs/>
          <w:sz w:val="24"/>
          <w:szCs w:val="24"/>
        </w:rPr>
        <w:t>and incorporated documents described as minimum</w:t>
      </w:r>
      <w:r w:rsidR="00AE43E9" w:rsidRPr="002E2E5B">
        <w:rPr>
          <w:rFonts w:ascii="Arial" w:hAnsi="Arial" w:cs="Arial"/>
          <w:b/>
          <w:bCs/>
          <w:sz w:val="24"/>
          <w:szCs w:val="24"/>
        </w:rPr>
        <w:t xml:space="preserve"> geographic access requirements</w:t>
      </w:r>
      <w:r w:rsidR="00FB241E" w:rsidRPr="002E2E5B">
        <w:rPr>
          <w:rFonts w:ascii="Arial" w:hAnsi="Arial" w:cs="Arial"/>
          <w:b/>
          <w:bCs/>
          <w:sz w:val="24"/>
          <w:szCs w:val="24"/>
        </w:rPr>
        <w:t>?</w:t>
      </w:r>
    </w:p>
    <w:p w14:paraId="04B7014A" w14:textId="67269E50" w:rsidR="002E2E5B" w:rsidRDefault="00AE43E9" w:rsidP="00101E84">
      <w:pPr>
        <w:pStyle w:val="ListParagraph"/>
        <w:spacing w:after="240"/>
        <w:contextualSpacing w:val="0"/>
        <w:rPr>
          <w:rFonts w:ascii="Arial" w:hAnsi="Arial" w:cs="Arial"/>
          <w:sz w:val="24"/>
          <w:szCs w:val="24"/>
        </w:rPr>
      </w:pPr>
      <w:r w:rsidRPr="00AE43E9">
        <w:rPr>
          <w:rFonts w:ascii="Arial" w:hAnsi="Arial" w:cs="Arial"/>
          <w:sz w:val="24"/>
          <w:szCs w:val="24"/>
        </w:rPr>
        <w:t>The geographic access standards incorporated by reference in Rule 1300.67.2 are the minimum standards of accessibility a plan must meet in order to establish network adequacy. The DMHC will use these standards to review health plan networks as part of the Annual Ne</w:t>
      </w:r>
      <w:r>
        <w:rPr>
          <w:rFonts w:ascii="Arial" w:hAnsi="Arial" w:cs="Arial"/>
          <w:sz w:val="24"/>
          <w:szCs w:val="24"/>
        </w:rPr>
        <w:t>t</w:t>
      </w:r>
      <w:r w:rsidRPr="00AE43E9">
        <w:rPr>
          <w:rFonts w:ascii="Arial" w:hAnsi="Arial" w:cs="Arial"/>
          <w:sz w:val="24"/>
          <w:szCs w:val="24"/>
        </w:rPr>
        <w:t>work Review. The DMHC may also use these standards to evaluate plans for network adequacy in other contexts, for example as part of plan filings for the purposes of licensure pursuant to Health and Safety Code sections 1351 and 1352, and Rules 1300.51, 1300.52, and 1300.52.4. (See Rule 1300.67.2(c)(2).</w:t>
      </w:r>
      <w:r w:rsidR="005B7443">
        <w:rPr>
          <w:rFonts w:ascii="Arial" w:hAnsi="Arial" w:cs="Arial"/>
          <w:sz w:val="24"/>
          <w:szCs w:val="24"/>
        </w:rPr>
        <w:t>)</w:t>
      </w:r>
    </w:p>
    <w:p w14:paraId="7BB931FF" w14:textId="77777777" w:rsidR="00AE43E9" w:rsidRDefault="00AE43E9" w:rsidP="002E2E5B">
      <w:pPr>
        <w:pStyle w:val="ListParagraph"/>
        <w:spacing w:after="240"/>
        <w:contextualSpacing w:val="0"/>
        <w:rPr>
          <w:rFonts w:ascii="Arial" w:hAnsi="Arial" w:cs="Arial"/>
          <w:sz w:val="24"/>
          <w:szCs w:val="24"/>
        </w:rPr>
      </w:pPr>
      <w:r w:rsidRPr="00AE43E9">
        <w:rPr>
          <w:rFonts w:ascii="Arial" w:hAnsi="Arial" w:cs="Arial"/>
          <w:sz w:val="24"/>
          <w:szCs w:val="24"/>
        </w:rPr>
        <w:t xml:space="preserve">As set forth in </w:t>
      </w:r>
      <w:r w:rsidR="00B206F7">
        <w:rPr>
          <w:rFonts w:ascii="Arial" w:hAnsi="Arial" w:cs="Arial"/>
          <w:sz w:val="24"/>
          <w:szCs w:val="24"/>
        </w:rPr>
        <w:t xml:space="preserve">Rule 1300.67.2(c), </w:t>
      </w:r>
      <w:r w:rsidRPr="00AE43E9">
        <w:rPr>
          <w:rFonts w:ascii="Arial" w:hAnsi="Arial" w:cs="Arial"/>
          <w:sz w:val="24"/>
          <w:szCs w:val="24"/>
        </w:rPr>
        <w:t>a plan is also required to arrange for shorter travel distances or additional provider types within its network, if necessary to ensure that all covered services are readily available and accessible to all enrollees.</w:t>
      </w:r>
    </w:p>
    <w:sectPr w:rsidR="00AE43E9" w:rsidSect="004F6CD8">
      <w:headerReference w:type="default" r:id="rId13"/>
      <w:headerReference w:type="first" r:id="rId14"/>
      <w:footerReference w:type="first" r:id="rId15"/>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001C" w14:textId="77777777" w:rsidR="001A7ADD" w:rsidRDefault="001A7ADD">
      <w:r>
        <w:separator/>
      </w:r>
    </w:p>
    <w:p w14:paraId="2049F4EF" w14:textId="77777777" w:rsidR="001A7ADD" w:rsidRDefault="001A7ADD"/>
  </w:endnote>
  <w:endnote w:type="continuationSeparator" w:id="0">
    <w:p w14:paraId="335BCBE8" w14:textId="77777777" w:rsidR="001A7ADD" w:rsidRDefault="001A7ADD">
      <w:r>
        <w:continuationSeparator/>
      </w:r>
    </w:p>
    <w:p w14:paraId="63AA5134" w14:textId="77777777" w:rsidR="001A7ADD" w:rsidRDefault="001A7ADD"/>
  </w:endnote>
  <w:endnote w:type="continuationNotice" w:id="1">
    <w:p w14:paraId="74BCC898" w14:textId="77777777" w:rsidR="001A7ADD" w:rsidRDefault="001A7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B762" w14:textId="77777777" w:rsidR="00417DCF" w:rsidRPr="008F3EBF" w:rsidRDefault="00417DCF" w:rsidP="00417DCF">
    <w:pPr>
      <w:pStyle w:val="Footer"/>
      <w:jc w:val="center"/>
      <w:rPr>
        <w:rFonts w:ascii="Arial" w:hAnsi="Arial" w:cs="Arial"/>
        <w:b/>
        <w:i/>
        <w:color w:val="12539F"/>
      </w:rPr>
    </w:pPr>
    <w:r w:rsidRPr="008F3EBF">
      <w:rPr>
        <w:rFonts w:ascii="Arial" w:hAnsi="Arial" w:cs="Arial"/>
        <w:b/>
        <w:i/>
        <w:color w:val="12539F"/>
      </w:rPr>
      <w:t>Protecting the Health Care Rights of More Than 2</w:t>
    </w:r>
    <w:r w:rsidR="002A36EC">
      <w:rPr>
        <w:rFonts w:ascii="Arial" w:hAnsi="Arial" w:cs="Arial"/>
        <w:b/>
        <w:i/>
        <w:color w:val="12539F"/>
      </w:rPr>
      <w:t>9</w:t>
    </w:r>
    <w:r w:rsidR="00781BE3">
      <w:rPr>
        <w:rFonts w:ascii="Arial" w:hAnsi="Arial" w:cs="Arial"/>
        <w:b/>
        <w:i/>
        <w:color w:val="12539F"/>
      </w:rPr>
      <w:t>.</w:t>
    </w:r>
    <w:r w:rsidR="00110F69">
      <w:rPr>
        <w:rFonts w:ascii="Arial" w:hAnsi="Arial" w:cs="Arial"/>
        <w:b/>
        <w:i/>
        <w:color w:val="12539F"/>
      </w:rPr>
      <w:t>8</w:t>
    </w:r>
    <w:r w:rsidRPr="008F3EBF">
      <w:rPr>
        <w:rFonts w:ascii="Arial" w:hAnsi="Arial" w:cs="Arial"/>
        <w:b/>
        <w:i/>
        <w:color w:val="12539F"/>
      </w:rPr>
      <w:t xml:space="preserve"> Million Californians</w:t>
    </w:r>
  </w:p>
  <w:p w14:paraId="4283D456" w14:textId="700EA929" w:rsidR="00570F54" w:rsidRPr="008F3EBF" w:rsidRDefault="00570F54" w:rsidP="00417DCF">
    <w:pPr>
      <w:pStyle w:val="Footer"/>
      <w:jc w:val="center"/>
      <w:rPr>
        <w:rFonts w:ascii="Arial" w:hAnsi="Arial" w:cs="Arial"/>
        <w:i/>
        <w:color w:val="034EA2"/>
      </w:rPr>
    </w:pPr>
    <w:r w:rsidRPr="008F3EBF">
      <w:rPr>
        <w:rFonts w:ascii="Arial" w:hAnsi="Arial" w:cs="Arial"/>
        <w:i/>
        <w:color w:val="12539F"/>
      </w:rPr>
      <w:t>Contact the DMHC Help Center at 1-888-466-2219 or</w:t>
    </w:r>
    <w:r w:rsidR="00544389">
      <w:rPr>
        <w:rFonts w:ascii="Arial" w:hAnsi="Arial" w:cs="Arial"/>
        <w:i/>
        <w:color w:val="12539F"/>
      </w:rPr>
      <w:t xml:space="preserve"> </w:t>
    </w:r>
    <w:hyperlink r:id="rId1" w:history="1">
      <w:r w:rsidR="00110F69" w:rsidRPr="00926960">
        <w:rPr>
          <w:rFonts w:ascii="Arial" w:hAnsi="Arial" w:cs="Arial"/>
          <w:iCs/>
          <w:color w:val="12539F"/>
          <w:szCs w:val="24"/>
        </w:rPr>
        <w:t>www.DMHC.ca.gov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0BA41" w14:textId="77777777" w:rsidR="001A7ADD" w:rsidRDefault="001A7ADD">
      <w:r>
        <w:separator/>
      </w:r>
    </w:p>
    <w:p w14:paraId="2AD624F5" w14:textId="77777777" w:rsidR="001A7ADD" w:rsidRDefault="001A7ADD"/>
  </w:footnote>
  <w:footnote w:type="continuationSeparator" w:id="0">
    <w:p w14:paraId="6DA0EB82" w14:textId="77777777" w:rsidR="001A7ADD" w:rsidRDefault="001A7ADD">
      <w:r>
        <w:continuationSeparator/>
      </w:r>
    </w:p>
    <w:p w14:paraId="5177DEC6" w14:textId="77777777" w:rsidR="001A7ADD" w:rsidRDefault="001A7ADD"/>
  </w:footnote>
  <w:footnote w:type="continuationNotice" w:id="1">
    <w:p w14:paraId="633B20C5" w14:textId="77777777" w:rsidR="001A7ADD" w:rsidRDefault="001A7ADD"/>
  </w:footnote>
  <w:footnote w:id="2">
    <w:p w14:paraId="0A370381" w14:textId="4F945973" w:rsidR="00136F3F" w:rsidRPr="00E17CC4" w:rsidRDefault="00136F3F">
      <w:pPr>
        <w:pStyle w:val="FootnoteText"/>
        <w:rPr>
          <w:rFonts w:ascii="Arial" w:hAnsi="Arial" w:cs="Arial"/>
          <w:szCs w:val="24"/>
        </w:rPr>
      </w:pPr>
      <w:r w:rsidRPr="00E17CC4">
        <w:rPr>
          <w:rStyle w:val="FootnoteReference"/>
          <w:rFonts w:ascii="Arial" w:hAnsi="Arial" w:cs="Arial"/>
          <w:szCs w:val="24"/>
        </w:rPr>
        <w:footnoteRef/>
      </w:r>
      <w:r w:rsidRPr="00E17CC4">
        <w:rPr>
          <w:rFonts w:ascii="Arial" w:hAnsi="Arial" w:cs="Arial"/>
          <w:szCs w:val="24"/>
        </w:rPr>
        <w:t xml:space="preserve"> </w:t>
      </w:r>
      <w:r w:rsidR="00E17CC4" w:rsidRPr="00E17CC4">
        <w:rPr>
          <w:rFonts w:ascii="Arial" w:hAnsi="Arial" w:cs="Arial"/>
          <w:szCs w:val="24"/>
        </w:rPr>
        <w:t>The Knox-Keene Act is set forth in California Health and Safety Code sections 1340 set seq. References to “Section” are to sections of the Knox-Keene Act. References to “Rule” refer to the California Code of Regulations, title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6A4F2" w14:textId="77777777" w:rsidR="00EF1032" w:rsidRPr="00EB03E9" w:rsidRDefault="006E41CA">
    <w:pPr>
      <w:pStyle w:val="Header"/>
      <w:tabs>
        <w:tab w:val="clear" w:pos="8640"/>
        <w:tab w:val="left" w:pos="8010"/>
      </w:tabs>
      <w:rPr>
        <w:rFonts w:ascii="Arial" w:hAnsi="Arial" w:cs="Arial"/>
      </w:rPr>
    </w:pPr>
    <w:r w:rsidRPr="00FC3D50">
      <w:rPr>
        <w:rFonts w:ascii="Arial" w:hAnsi="Arial" w:cs="Arial"/>
        <w:szCs w:val="24"/>
      </w:rPr>
      <w:t>Frequently Asked Questions (FAQ)</w:t>
    </w:r>
    <w:r w:rsidR="00EF1032" w:rsidRPr="002B50CC">
      <w:rPr>
        <w:rFonts w:ascii="Arial" w:hAnsi="Arial" w:cs="Arial"/>
      </w:rPr>
      <w:tab/>
    </w:r>
    <w:r w:rsidR="00AB6124">
      <w:rPr>
        <w:rFonts w:ascii="Arial" w:hAnsi="Arial" w:cs="Arial"/>
      </w:rPr>
      <w:t xml:space="preserve">                                                   </w:t>
    </w:r>
    <w:r w:rsidR="007261F1">
      <w:rPr>
        <w:rFonts w:ascii="Arial" w:hAnsi="Arial" w:cs="Arial"/>
      </w:rPr>
      <w:t xml:space="preserve"> </w:t>
    </w:r>
    <w:r w:rsidR="007261F1" w:rsidRPr="00EB03E9">
      <w:rPr>
        <w:rFonts w:ascii="Arial" w:hAnsi="Arial" w:cs="Arial"/>
      </w:rPr>
      <w:t>December 12</w:t>
    </w:r>
    <w:r w:rsidR="00AB6124" w:rsidRPr="00EB03E9">
      <w:rPr>
        <w:rFonts w:ascii="Arial" w:hAnsi="Arial" w:cs="Arial"/>
      </w:rPr>
      <w:t>, 2024</w:t>
    </w:r>
  </w:p>
  <w:p w14:paraId="1B228AA5" w14:textId="35DBB2D7" w:rsidR="00EF1032" w:rsidRPr="002B50CC" w:rsidRDefault="006E41CA">
    <w:pPr>
      <w:pStyle w:val="Header"/>
      <w:tabs>
        <w:tab w:val="left" w:pos="8010"/>
        <w:tab w:val="left" w:pos="9360"/>
      </w:tabs>
      <w:rPr>
        <w:rFonts w:ascii="Arial" w:hAnsi="Arial" w:cs="Arial"/>
      </w:rPr>
    </w:pPr>
    <w:r w:rsidRPr="009F4B7F">
      <w:rPr>
        <w:rFonts w:ascii="Arial" w:hAnsi="Arial" w:cs="Arial"/>
        <w:szCs w:val="24"/>
      </w:rPr>
      <w:t>APL 2</w:t>
    </w:r>
    <w:r w:rsidR="00EB7D9C" w:rsidRPr="009F4B7F">
      <w:rPr>
        <w:rFonts w:ascii="Arial" w:hAnsi="Arial" w:cs="Arial"/>
        <w:szCs w:val="24"/>
      </w:rPr>
      <w:t>4</w:t>
    </w:r>
    <w:r w:rsidR="00585CC6" w:rsidRPr="009F4B7F">
      <w:rPr>
        <w:rFonts w:ascii="Arial" w:hAnsi="Arial" w:cs="Arial"/>
        <w:szCs w:val="24"/>
      </w:rPr>
      <w:t>-</w:t>
    </w:r>
    <w:r w:rsidR="00AF2D14">
      <w:rPr>
        <w:rFonts w:ascii="Arial" w:hAnsi="Arial" w:cs="Arial"/>
        <w:szCs w:val="24"/>
      </w:rPr>
      <w:t>021</w:t>
    </w:r>
    <w:r w:rsidR="00EF1032" w:rsidRPr="002B50CC">
      <w:rPr>
        <w:rFonts w:ascii="Arial" w:hAnsi="Arial" w:cs="Arial"/>
      </w:rPr>
      <w:tab/>
    </w:r>
    <w:r w:rsidR="00EF1032" w:rsidRPr="002B50CC">
      <w:rPr>
        <w:rFonts w:ascii="Arial" w:hAnsi="Arial" w:cs="Arial"/>
      </w:rPr>
      <w:tab/>
    </w:r>
    <w:r w:rsidR="00AB6124">
      <w:rPr>
        <w:rFonts w:ascii="Arial" w:hAnsi="Arial" w:cs="Arial"/>
      </w:rPr>
      <w:t xml:space="preserve">        </w:t>
    </w:r>
    <w:r w:rsidR="00EF1032" w:rsidRPr="002B50CC">
      <w:rPr>
        <w:rFonts w:ascii="Arial" w:hAnsi="Arial" w:cs="Arial"/>
      </w:rPr>
      <w:t>Pag</w:t>
    </w:r>
    <w:r w:rsidR="00AB6124">
      <w:rPr>
        <w:rFonts w:ascii="Arial" w:hAnsi="Arial" w:cs="Arial"/>
      </w:rPr>
      <w:t xml:space="preserve">e </w:t>
    </w:r>
    <w:r w:rsidR="00EF1032" w:rsidRPr="002B50CC">
      <w:rPr>
        <w:rFonts w:ascii="Arial" w:hAnsi="Arial" w:cs="Arial"/>
      </w:rPr>
      <w:fldChar w:fldCharType="begin"/>
    </w:r>
    <w:r w:rsidR="00EF1032" w:rsidRPr="002B50CC">
      <w:rPr>
        <w:rFonts w:ascii="Arial" w:hAnsi="Arial" w:cs="Arial"/>
      </w:rPr>
      <w:instrText xml:space="preserve"> PAGE </w:instrText>
    </w:r>
    <w:r w:rsidR="00EF1032" w:rsidRPr="002B50CC">
      <w:rPr>
        <w:rFonts w:ascii="Arial" w:hAnsi="Arial" w:cs="Arial"/>
      </w:rPr>
      <w:fldChar w:fldCharType="separate"/>
    </w:r>
    <w:r w:rsidR="00D367E9">
      <w:rPr>
        <w:rFonts w:ascii="Arial" w:hAnsi="Arial" w:cs="Arial"/>
        <w:noProof/>
      </w:rPr>
      <w:t>2</w:t>
    </w:r>
    <w:r w:rsidR="00EF1032" w:rsidRPr="002B50CC">
      <w:rPr>
        <w:rFonts w:ascii="Arial" w:hAnsi="Arial" w:cs="Arial"/>
      </w:rPr>
      <w:fldChar w:fldCharType="end"/>
    </w:r>
  </w:p>
  <w:p w14:paraId="172D8E4C" w14:textId="77777777" w:rsidR="00EF1032" w:rsidRDefault="006E41CA">
    <w:pPr>
      <w:pStyle w:val="Header"/>
      <w:rPr>
        <w:rFonts w:ascii="Arial" w:hAnsi="Arial" w:cs="Arial"/>
        <w:szCs w:val="24"/>
      </w:rPr>
    </w:pPr>
    <w:r w:rsidRPr="00FC3D50">
      <w:rPr>
        <w:rFonts w:ascii="Arial" w:hAnsi="Arial" w:cs="Arial"/>
        <w:szCs w:val="24"/>
      </w:rPr>
      <w:t>Amendments to Rule 1300.</w:t>
    </w:r>
    <w:r>
      <w:rPr>
        <w:rFonts w:ascii="Arial" w:hAnsi="Arial" w:cs="Arial"/>
        <w:szCs w:val="24"/>
      </w:rPr>
      <w:t>67.2 and</w:t>
    </w:r>
  </w:p>
  <w:p w14:paraId="6FE6DCE7" w14:textId="60F0B0C4" w:rsidR="005B7C66" w:rsidRPr="002D1CA2" w:rsidRDefault="006E41CA" w:rsidP="00124E1F">
    <w:pPr>
      <w:pStyle w:val="Header"/>
      <w:spacing w:after="480"/>
      <w:rPr>
        <w:rFonts w:ascii="Arial" w:hAnsi="Arial" w:cs="Arial"/>
      </w:rPr>
    </w:pPr>
    <w:r>
      <w:rPr>
        <w:rFonts w:ascii="Arial" w:hAnsi="Arial" w:cs="Arial"/>
        <w:szCs w:val="24"/>
      </w:rPr>
      <w:t>Incorporated Documents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D385" w14:textId="7A3EBEAE" w:rsidR="008F3EBF" w:rsidRDefault="00260261">
    <w:pPr>
      <w:pStyle w:val="Header"/>
    </w:pPr>
    <w:r>
      <w:rPr>
        <w:noProof/>
      </w:rPr>
      <w:drawing>
        <wp:anchor distT="0" distB="0" distL="114300" distR="114300" simplePos="0" relativeHeight="251658241" behindDoc="0" locked="0" layoutInCell="1" allowOverlap="1" wp14:anchorId="75FB77A1" wp14:editId="4827EB17">
          <wp:simplePos x="0" y="0"/>
          <wp:positionH relativeFrom="margin">
            <wp:posOffset>-352425</wp:posOffset>
          </wp:positionH>
          <wp:positionV relativeFrom="margin">
            <wp:posOffset>-321945</wp:posOffset>
          </wp:positionV>
          <wp:extent cx="2876550" cy="1027430"/>
          <wp:effectExtent l="0" t="0" r="0" b="0"/>
          <wp:wrapSquare wrapText="bothSides"/>
          <wp:docPr id="9" name="Picture 2" descr="DM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DMH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10274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B294B35" wp14:editId="59723870">
              <wp:simplePos x="0" y="0"/>
              <wp:positionH relativeFrom="column">
                <wp:posOffset>2734945</wp:posOffset>
              </wp:positionH>
              <wp:positionV relativeFrom="paragraph">
                <wp:posOffset>-114300</wp:posOffset>
              </wp:positionV>
              <wp:extent cx="3612515" cy="15259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152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2CB58" w14:textId="77777777" w:rsidR="008F3EBF" w:rsidRPr="004D5EAF" w:rsidRDefault="00ED37A9" w:rsidP="008F3EBF">
                          <w:pPr>
                            <w:jc w:val="right"/>
                            <w:rPr>
                              <w:rFonts w:ascii="Arial" w:hAnsi="Arial" w:cs="Arial"/>
                              <w:color w:val="12539F"/>
                              <w:szCs w:val="16"/>
                            </w:rPr>
                          </w:pPr>
                          <w:r>
                            <w:rPr>
                              <w:rFonts w:ascii="Arial" w:hAnsi="Arial" w:cs="Arial"/>
                              <w:color w:val="12539F"/>
                              <w:szCs w:val="16"/>
                            </w:rPr>
                            <w:t>Gavin Newsom</w:t>
                          </w:r>
                          <w:r w:rsidR="008F3EBF" w:rsidRPr="004D5EAF">
                            <w:rPr>
                              <w:rFonts w:ascii="Arial" w:hAnsi="Arial" w:cs="Arial"/>
                              <w:color w:val="12539F"/>
                              <w:szCs w:val="16"/>
                            </w:rPr>
                            <w:t>, Governor</w:t>
                          </w:r>
                        </w:p>
                        <w:p w14:paraId="58AF9C4D" w14:textId="77777777" w:rsidR="008F3EBF" w:rsidRPr="004D5EAF" w:rsidRDefault="008F3EBF" w:rsidP="008F3EBF">
                          <w:pPr>
                            <w:jc w:val="right"/>
                            <w:rPr>
                              <w:rFonts w:ascii="Arial" w:hAnsi="Arial" w:cs="Arial"/>
                              <w:color w:val="12539F"/>
                              <w:szCs w:val="16"/>
                            </w:rPr>
                          </w:pPr>
                          <w:r w:rsidRPr="004D5EAF">
                            <w:rPr>
                              <w:rFonts w:ascii="Arial" w:hAnsi="Arial" w:cs="Arial"/>
                              <w:color w:val="12539F"/>
                              <w:szCs w:val="16"/>
                            </w:rPr>
                            <w:t>State of California</w:t>
                          </w:r>
                        </w:p>
                        <w:p w14:paraId="640C0BB0" w14:textId="77777777" w:rsidR="008F3EBF" w:rsidRPr="004D5EAF" w:rsidRDefault="008F3EBF" w:rsidP="008F3EBF">
                          <w:pPr>
                            <w:jc w:val="right"/>
                            <w:rPr>
                              <w:rFonts w:ascii="Arial" w:hAnsi="Arial" w:cs="Arial"/>
                              <w:color w:val="12539F"/>
                              <w:szCs w:val="16"/>
                            </w:rPr>
                          </w:pPr>
                          <w:r w:rsidRPr="004D5EAF">
                            <w:rPr>
                              <w:rFonts w:ascii="Arial" w:hAnsi="Arial" w:cs="Arial"/>
                              <w:color w:val="12539F"/>
                              <w:szCs w:val="16"/>
                            </w:rPr>
                            <w:t>Health and Human Services Agency</w:t>
                          </w:r>
                        </w:p>
                        <w:p w14:paraId="3D295759" w14:textId="77777777" w:rsidR="008F3EBF" w:rsidRPr="008F3EBF" w:rsidRDefault="008F3EBF" w:rsidP="008F3EBF">
                          <w:pPr>
                            <w:jc w:val="right"/>
                            <w:rPr>
                              <w:rFonts w:ascii="Arial" w:hAnsi="Arial" w:cs="Arial"/>
                              <w:b/>
                              <w:bCs/>
                              <w:color w:val="12539F"/>
                            </w:rPr>
                          </w:pPr>
                          <w:r w:rsidRPr="008F3EBF">
                            <w:rPr>
                              <w:rFonts w:ascii="Arial" w:hAnsi="Arial" w:cs="Arial"/>
                              <w:b/>
                              <w:bCs/>
                              <w:color w:val="12539F"/>
                            </w:rPr>
                            <w:t>DEPARTMENT OF MANAGED HEALTH CARE</w:t>
                          </w:r>
                        </w:p>
                        <w:p w14:paraId="7608C732" w14:textId="77777777" w:rsidR="008F3EBF" w:rsidRPr="008F3EBF" w:rsidRDefault="008F3EBF" w:rsidP="008F3EBF">
                          <w:pPr>
                            <w:jc w:val="right"/>
                            <w:rPr>
                              <w:rFonts w:ascii="Arial" w:hAnsi="Arial" w:cs="Arial"/>
                              <w:b/>
                              <w:color w:val="12539F"/>
                            </w:rPr>
                          </w:pPr>
                          <w:r w:rsidRPr="008F3EBF">
                            <w:rPr>
                              <w:rFonts w:ascii="Arial" w:hAnsi="Arial" w:cs="Arial"/>
                              <w:b/>
                              <w:color w:val="12539F"/>
                            </w:rPr>
                            <w:t>980 9</w:t>
                          </w:r>
                          <w:r w:rsidRPr="008F3EBF">
                            <w:rPr>
                              <w:rFonts w:ascii="Arial" w:hAnsi="Arial" w:cs="Arial"/>
                              <w:b/>
                              <w:color w:val="12539F"/>
                              <w:vertAlign w:val="superscript"/>
                            </w:rPr>
                            <w:t>th</w:t>
                          </w:r>
                          <w:r w:rsidRPr="008F3EBF">
                            <w:rPr>
                              <w:rFonts w:ascii="Arial" w:hAnsi="Arial" w:cs="Arial"/>
                              <w:b/>
                              <w:color w:val="12539F"/>
                            </w:rPr>
                            <w:t xml:space="preserve"> Street, Suite 500 </w:t>
                          </w:r>
                          <w:r w:rsidRPr="008F3EBF">
                            <w:rPr>
                              <w:rFonts w:ascii="Arial" w:hAnsi="Arial" w:cs="Arial"/>
                              <w:b/>
                              <w:color w:val="12539F"/>
                            </w:rPr>
                            <w:br/>
                            <w:t>Sacramento, CA 95814</w:t>
                          </w:r>
                        </w:p>
                        <w:p w14:paraId="49CECF83" w14:textId="77777777" w:rsidR="008F3EBF" w:rsidRPr="008F3EBF" w:rsidRDefault="008F3EBF" w:rsidP="008F3EBF">
                          <w:pPr>
                            <w:jc w:val="right"/>
                            <w:rPr>
                              <w:rFonts w:ascii="Arial" w:hAnsi="Arial" w:cs="Arial"/>
                              <w:b/>
                              <w:color w:val="12539F"/>
                            </w:rPr>
                          </w:pPr>
                          <w:r w:rsidRPr="008F3EBF">
                            <w:rPr>
                              <w:rFonts w:ascii="Arial" w:hAnsi="Arial" w:cs="Arial"/>
                              <w:b/>
                              <w:color w:val="12539F"/>
                            </w:rPr>
                            <w:t>Pho</w:t>
                          </w:r>
                          <w:r w:rsidR="002C29D2">
                            <w:rPr>
                              <w:rFonts w:ascii="Arial" w:hAnsi="Arial" w:cs="Arial"/>
                              <w:b/>
                              <w:color w:val="12539F"/>
                            </w:rPr>
                            <w:t>ne: 916-</w:t>
                          </w:r>
                          <w:r w:rsidR="009F4F95">
                            <w:rPr>
                              <w:rFonts w:ascii="Arial" w:hAnsi="Arial" w:cs="Arial"/>
                              <w:b/>
                              <w:color w:val="12539F"/>
                            </w:rPr>
                            <w:t>324-8176 | Fax: 916-</w:t>
                          </w:r>
                          <w:r w:rsidRPr="008F3EBF">
                            <w:rPr>
                              <w:rFonts w:ascii="Arial" w:hAnsi="Arial" w:cs="Arial"/>
                              <w:b/>
                              <w:color w:val="12539F"/>
                            </w:rPr>
                            <w:t>255-5241</w:t>
                          </w:r>
                        </w:p>
                        <w:p w14:paraId="598DD895" w14:textId="58398C21" w:rsidR="008F3EBF" w:rsidRDefault="00926960" w:rsidP="00152F5D">
                          <w:pPr>
                            <w:jc w:val="right"/>
                          </w:pPr>
                          <w:hyperlink r:id="rId2">
                            <w:r w:rsidRPr="00926960">
                              <w:rPr>
                                <w:rFonts w:ascii="Arial" w:hAnsi="Arial" w:cs="Arial"/>
                                <w:b/>
                                <w:color w:val="208639"/>
                                <w:spacing w:val="-2"/>
                                <w:szCs w:val="24"/>
                              </w:rPr>
                              <w:t>www.DMHC.ca.gov</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294B35" id="_x0000_t202" coordsize="21600,21600" o:spt="202" path="m,l,21600r21600,l21600,xe">
              <v:stroke joinstyle="miter"/>
              <v:path gradientshapeok="t" o:connecttype="rect"/>
            </v:shapetype>
            <v:shape id="Text Box 3" o:spid="_x0000_s1026" type="#_x0000_t202" style="position:absolute;margin-left:215.35pt;margin-top:-9pt;width:284.45pt;height:1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" filled="f" stroked="f">
              <v:textbox>
                <w:txbxContent>
                  <w:p w14:paraId="1532CB58" w14:textId="77777777" w:rsidR="008F3EBF" w:rsidRPr="004D5EAF" w:rsidRDefault="00ED37A9" w:rsidP="008F3EBF">
                    <w:pPr>
                      <w:jc w:val="right"/>
                      <w:rPr>
                        <w:rFonts w:ascii="Arial" w:hAnsi="Arial" w:cs="Arial"/>
                        <w:color w:val="12539F"/>
                        <w:szCs w:val="16"/>
                      </w:rPr>
                    </w:pPr>
                    <w:r>
                      <w:rPr>
                        <w:rFonts w:ascii="Arial" w:hAnsi="Arial" w:cs="Arial"/>
                        <w:color w:val="12539F"/>
                        <w:szCs w:val="16"/>
                      </w:rPr>
                      <w:t>Gavin Newsom</w:t>
                    </w:r>
                    <w:r w:rsidR="008F3EBF" w:rsidRPr="004D5EAF">
                      <w:rPr>
                        <w:rFonts w:ascii="Arial" w:hAnsi="Arial" w:cs="Arial"/>
                        <w:color w:val="12539F"/>
                        <w:szCs w:val="16"/>
                      </w:rPr>
                      <w:t>, Governor</w:t>
                    </w:r>
                  </w:p>
                  <w:p w14:paraId="58AF9C4D" w14:textId="77777777" w:rsidR="008F3EBF" w:rsidRPr="004D5EAF" w:rsidRDefault="008F3EBF" w:rsidP="008F3EBF">
                    <w:pPr>
                      <w:jc w:val="right"/>
                      <w:rPr>
                        <w:rFonts w:ascii="Arial" w:hAnsi="Arial" w:cs="Arial"/>
                        <w:color w:val="12539F"/>
                        <w:szCs w:val="16"/>
                      </w:rPr>
                    </w:pPr>
                    <w:r w:rsidRPr="004D5EAF">
                      <w:rPr>
                        <w:rFonts w:ascii="Arial" w:hAnsi="Arial" w:cs="Arial"/>
                        <w:color w:val="12539F"/>
                        <w:szCs w:val="16"/>
                      </w:rPr>
                      <w:t>State of California</w:t>
                    </w:r>
                  </w:p>
                  <w:p w14:paraId="640C0BB0" w14:textId="77777777" w:rsidR="008F3EBF" w:rsidRPr="004D5EAF" w:rsidRDefault="008F3EBF" w:rsidP="008F3EBF">
                    <w:pPr>
                      <w:jc w:val="right"/>
                      <w:rPr>
                        <w:rFonts w:ascii="Arial" w:hAnsi="Arial" w:cs="Arial"/>
                        <w:color w:val="12539F"/>
                        <w:szCs w:val="16"/>
                      </w:rPr>
                    </w:pPr>
                    <w:r w:rsidRPr="004D5EAF">
                      <w:rPr>
                        <w:rFonts w:ascii="Arial" w:hAnsi="Arial" w:cs="Arial"/>
                        <w:color w:val="12539F"/>
                        <w:szCs w:val="16"/>
                      </w:rPr>
                      <w:t>Health and Human Services Agency</w:t>
                    </w:r>
                  </w:p>
                  <w:p w14:paraId="3D295759" w14:textId="77777777" w:rsidR="008F3EBF" w:rsidRPr="008F3EBF" w:rsidRDefault="008F3EBF" w:rsidP="008F3EBF">
                    <w:pPr>
                      <w:jc w:val="right"/>
                      <w:rPr>
                        <w:rFonts w:ascii="Arial" w:hAnsi="Arial" w:cs="Arial"/>
                        <w:b/>
                        <w:bCs/>
                        <w:color w:val="12539F"/>
                      </w:rPr>
                    </w:pPr>
                    <w:r w:rsidRPr="008F3EBF">
                      <w:rPr>
                        <w:rFonts w:ascii="Arial" w:hAnsi="Arial" w:cs="Arial"/>
                        <w:b/>
                        <w:bCs/>
                        <w:color w:val="12539F"/>
                      </w:rPr>
                      <w:t>DEPARTMENT OF MANAGED HEALTH CARE</w:t>
                    </w:r>
                  </w:p>
                  <w:p w14:paraId="7608C732" w14:textId="77777777" w:rsidR="008F3EBF" w:rsidRPr="008F3EBF" w:rsidRDefault="008F3EBF" w:rsidP="008F3EBF">
                    <w:pPr>
                      <w:jc w:val="right"/>
                      <w:rPr>
                        <w:rFonts w:ascii="Arial" w:hAnsi="Arial" w:cs="Arial"/>
                        <w:b/>
                        <w:color w:val="12539F"/>
                      </w:rPr>
                    </w:pPr>
                    <w:r w:rsidRPr="008F3EBF">
                      <w:rPr>
                        <w:rFonts w:ascii="Arial" w:hAnsi="Arial" w:cs="Arial"/>
                        <w:b/>
                        <w:color w:val="12539F"/>
                      </w:rPr>
                      <w:t>980 9</w:t>
                    </w:r>
                    <w:r w:rsidRPr="008F3EBF">
                      <w:rPr>
                        <w:rFonts w:ascii="Arial" w:hAnsi="Arial" w:cs="Arial"/>
                        <w:b/>
                        <w:color w:val="12539F"/>
                        <w:vertAlign w:val="superscript"/>
                      </w:rPr>
                      <w:t>th</w:t>
                    </w:r>
                    <w:r w:rsidRPr="008F3EBF">
                      <w:rPr>
                        <w:rFonts w:ascii="Arial" w:hAnsi="Arial" w:cs="Arial"/>
                        <w:b/>
                        <w:color w:val="12539F"/>
                      </w:rPr>
                      <w:t xml:space="preserve"> Street, Suite 500 </w:t>
                    </w:r>
                    <w:r w:rsidRPr="008F3EBF">
                      <w:rPr>
                        <w:rFonts w:ascii="Arial" w:hAnsi="Arial" w:cs="Arial"/>
                        <w:b/>
                        <w:color w:val="12539F"/>
                      </w:rPr>
                      <w:br/>
                      <w:t>Sacramento, CA 95814</w:t>
                    </w:r>
                  </w:p>
                  <w:p w14:paraId="49CECF83" w14:textId="77777777" w:rsidR="008F3EBF" w:rsidRPr="008F3EBF" w:rsidRDefault="008F3EBF" w:rsidP="008F3EBF">
                    <w:pPr>
                      <w:jc w:val="right"/>
                      <w:rPr>
                        <w:rFonts w:ascii="Arial" w:hAnsi="Arial" w:cs="Arial"/>
                        <w:b/>
                        <w:color w:val="12539F"/>
                      </w:rPr>
                    </w:pPr>
                    <w:r w:rsidRPr="008F3EBF">
                      <w:rPr>
                        <w:rFonts w:ascii="Arial" w:hAnsi="Arial" w:cs="Arial"/>
                        <w:b/>
                        <w:color w:val="12539F"/>
                      </w:rPr>
                      <w:t>Pho</w:t>
                    </w:r>
                    <w:r w:rsidR="002C29D2">
                      <w:rPr>
                        <w:rFonts w:ascii="Arial" w:hAnsi="Arial" w:cs="Arial"/>
                        <w:b/>
                        <w:color w:val="12539F"/>
                      </w:rPr>
                      <w:t>ne: 916-</w:t>
                    </w:r>
                    <w:r w:rsidR="009F4F95">
                      <w:rPr>
                        <w:rFonts w:ascii="Arial" w:hAnsi="Arial" w:cs="Arial"/>
                        <w:b/>
                        <w:color w:val="12539F"/>
                      </w:rPr>
                      <w:t>324-8176 | Fax: 916-</w:t>
                    </w:r>
                    <w:r w:rsidRPr="008F3EBF">
                      <w:rPr>
                        <w:rFonts w:ascii="Arial" w:hAnsi="Arial" w:cs="Arial"/>
                        <w:b/>
                        <w:color w:val="12539F"/>
                      </w:rPr>
                      <w:t>255-5241</w:t>
                    </w:r>
                  </w:p>
                  <w:p w14:paraId="598DD895" w14:textId="58398C21" w:rsidR="008F3EBF" w:rsidRDefault="00926960" w:rsidP="00152F5D">
                    <w:pPr>
                      <w:jc w:val="right"/>
                    </w:pPr>
                    <w:hyperlink r:id="rId3">
                      <w:r w:rsidRPr="00926960">
                        <w:rPr>
                          <w:rFonts w:ascii="Arial" w:hAnsi="Arial" w:cs="Arial"/>
                          <w:b/>
                          <w:color w:val="208639"/>
                          <w:spacing w:val="-2"/>
                          <w:szCs w:val="24"/>
                        </w:rPr>
                        <w:t>www.DMHC.ca.gov</w:t>
                      </w:r>
                    </w:hyperlink>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multilevel"/>
    <w:tmpl w:val="9D705994"/>
    <w:styleLink w:val="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AF60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14F5D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5002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837A72"/>
    <w:multiLevelType w:val="hybridMultilevel"/>
    <w:tmpl w:val="596037B6"/>
    <w:lvl w:ilvl="0" w:tplc="97843488">
      <w:start w:val="1"/>
      <w:numFmt w:val="decimal"/>
      <w:lvlText w:val="%1."/>
      <w:lvlJc w:val="left"/>
      <w:pPr>
        <w:ind w:left="1020" w:hanging="360"/>
      </w:pPr>
    </w:lvl>
    <w:lvl w:ilvl="1" w:tplc="D4E84528">
      <w:start w:val="1"/>
      <w:numFmt w:val="decimal"/>
      <w:lvlText w:val="%2."/>
      <w:lvlJc w:val="left"/>
      <w:pPr>
        <w:ind w:left="1020" w:hanging="360"/>
      </w:pPr>
    </w:lvl>
    <w:lvl w:ilvl="2" w:tplc="98961EB2">
      <w:start w:val="1"/>
      <w:numFmt w:val="decimal"/>
      <w:lvlText w:val="%3."/>
      <w:lvlJc w:val="left"/>
      <w:pPr>
        <w:ind w:left="1020" w:hanging="360"/>
      </w:pPr>
    </w:lvl>
    <w:lvl w:ilvl="3" w:tplc="D4764F2A">
      <w:start w:val="1"/>
      <w:numFmt w:val="decimal"/>
      <w:lvlText w:val="%4."/>
      <w:lvlJc w:val="left"/>
      <w:pPr>
        <w:ind w:left="1020" w:hanging="360"/>
      </w:pPr>
    </w:lvl>
    <w:lvl w:ilvl="4" w:tplc="64383E56">
      <w:start w:val="1"/>
      <w:numFmt w:val="decimal"/>
      <w:lvlText w:val="%5."/>
      <w:lvlJc w:val="left"/>
      <w:pPr>
        <w:ind w:left="1020" w:hanging="360"/>
      </w:pPr>
    </w:lvl>
    <w:lvl w:ilvl="5" w:tplc="FEB87D5A">
      <w:start w:val="1"/>
      <w:numFmt w:val="decimal"/>
      <w:lvlText w:val="%6."/>
      <w:lvlJc w:val="left"/>
      <w:pPr>
        <w:ind w:left="1020" w:hanging="360"/>
      </w:pPr>
    </w:lvl>
    <w:lvl w:ilvl="6" w:tplc="596C173E">
      <w:start w:val="1"/>
      <w:numFmt w:val="decimal"/>
      <w:lvlText w:val="%7."/>
      <w:lvlJc w:val="left"/>
      <w:pPr>
        <w:ind w:left="1020" w:hanging="360"/>
      </w:pPr>
    </w:lvl>
    <w:lvl w:ilvl="7" w:tplc="E4F66D10">
      <w:start w:val="1"/>
      <w:numFmt w:val="decimal"/>
      <w:lvlText w:val="%8."/>
      <w:lvlJc w:val="left"/>
      <w:pPr>
        <w:ind w:left="1020" w:hanging="360"/>
      </w:pPr>
    </w:lvl>
    <w:lvl w:ilvl="8" w:tplc="84F067BC">
      <w:start w:val="1"/>
      <w:numFmt w:val="decimal"/>
      <w:lvlText w:val="%9."/>
      <w:lvlJc w:val="left"/>
      <w:pPr>
        <w:ind w:left="1020" w:hanging="360"/>
      </w:pPr>
    </w:lvl>
  </w:abstractNum>
  <w:abstractNum w:abstractNumId="5" w15:restartNumberingAfterBreak="0">
    <w:nsid w:val="06FF01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A2717F"/>
    <w:multiLevelType w:val="hybridMultilevel"/>
    <w:tmpl w:val="D172BE60"/>
    <w:lvl w:ilvl="0" w:tplc="41748AA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805BE4"/>
    <w:multiLevelType w:val="hybridMultilevel"/>
    <w:tmpl w:val="BDB445A4"/>
    <w:lvl w:ilvl="0" w:tplc="102822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71273"/>
    <w:multiLevelType w:val="hybridMultilevel"/>
    <w:tmpl w:val="A3D6F3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7D63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F97FEB"/>
    <w:multiLevelType w:val="hybridMultilevel"/>
    <w:tmpl w:val="79342F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2D60F2"/>
    <w:multiLevelType w:val="hybridMultilevel"/>
    <w:tmpl w:val="069CEB98"/>
    <w:lvl w:ilvl="0" w:tplc="3A285C5E">
      <w:start w:val="1"/>
      <w:numFmt w:val="bullet"/>
      <w:lvlText w:val="-"/>
      <w:lvlJc w:val="left"/>
      <w:pPr>
        <w:ind w:left="720" w:hanging="360"/>
      </w:pPr>
      <w:rPr>
        <w:rFonts w:ascii="Arial" w:eastAsia="Apto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814AF"/>
    <w:multiLevelType w:val="hybridMultilevel"/>
    <w:tmpl w:val="53183F62"/>
    <w:lvl w:ilvl="0" w:tplc="2A9ADA6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D7BE8"/>
    <w:multiLevelType w:val="hybridMultilevel"/>
    <w:tmpl w:val="78223F5A"/>
    <w:lvl w:ilvl="0" w:tplc="BED22E50">
      <w:start w:val="1"/>
      <w:numFmt w:val="decimal"/>
      <w:lvlText w:val="%1."/>
      <w:lvlJc w:val="left"/>
      <w:pPr>
        <w:ind w:left="1020" w:hanging="360"/>
      </w:pPr>
    </w:lvl>
    <w:lvl w:ilvl="1" w:tplc="FFB0D068">
      <w:start w:val="1"/>
      <w:numFmt w:val="decimal"/>
      <w:lvlText w:val="%2."/>
      <w:lvlJc w:val="left"/>
      <w:pPr>
        <w:ind w:left="1020" w:hanging="360"/>
      </w:pPr>
    </w:lvl>
    <w:lvl w:ilvl="2" w:tplc="D1E264E2">
      <w:start w:val="1"/>
      <w:numFmt w:val="decimal"/>
      <w:lvlText w:val="%3."/>
      <w:lvlJc w:val="left"/>
      <w:pPr>
        <w:ind w:left="1020" w:hanging="360"/>
      </w:pPr>
    </w:lvl>
    <w:lvl w:ilvl="3" w:tplc="B0183D1E">
      <w:start w:val="1"/>
      <w:numFmt w:val="decimal"/>
      <w:lvlText w:val="%4."/>
      <w:lvlJc w:val="left"/>
      <w:pPr>
        <w:ind w:left="1020" w:hanging="360"/>
      </w:pPr>
    </w:lvl>
    <w:lvl w:ilvl="4" w:tplc="24067ADE">
      <w:start w:val="1"/>
      <w:numFmt w:val="decimal"/>
      <w:lvlText w:val="%5."/>
      <w:lvlJc w:val="left"/>
      <w:pPr>
        <w:ind w:left="1020" w:hanging="360"/>
      </w:pPr>
    </w:lvl>
    <w:lvl w:ilvl="5" w:tplc="3378D388">
      <w:start w:val="1"/>
      <w:numFmt w:val="decimal"/>
      <w:lvlText w:val="%6."/>
      <w:lvlJc w:val="left"/>
      <w:pPr>
        <w:ind w:left="1020" w:hanging="360"/>
      </w:pPr>
    </w:lvl>
    <w:lvl w:ilvl="6" w:tplc="8174D05E">
      <w:start w:val="1"/>
      <w:numFmt w:val="decimal"/>
      <w:lvlText w:val="%7."/>
      <w:lvlJc w:val="left"/>
      <w:pPr>
        <w:ind w:left="1020" w:hanging="360"/>
      </w:pPr>
    </w:lvl>
    <w:lvl w:ilvl="7" w:tplc="50040F72">
      <w:start w:val="1"/>
      <w:numFmt w:val="decimal"/>
      <w:lvlText w:val="%8."/>
      <w:lvlJc w:val="left"/>
      <w:pPr>
        <w:ind w:left="1020" w:hanging="360"/>
      </w:pPr>
    </w:lvl>
    <w:lvl w:ilvl="8" w:tplc="E3DC2ED6">
      <w:start w:val="1"/>
      <w:numFmt w:val="decimal"/>
      <w:lvlText w:val="%9."/>
      <w:lvlJc w:val="left"/>
      <w:pPr>
        <w:ind w:left="1020" w:hanging="360"/>
      </w:pPr>
    </w:lvl>
  </w:abstractNum>
  <w:abstractNum w:abstractNumId="14" w15:restartNumberingAfterBreak="0">
    <w:nsid w:val="209D52A7"/>
    <w:multiLevelType w:val="hybridMultilevel"/>
    <w:tmpl w:val="3C920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3E690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DBB0CA0"/>
    <w:multiLevelType w:val="hybridMultilevel"/>
    <w:tmpl w:val="2B3C2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E5747"/>
    <w:multiLevelType w:val="hybridMultilevel"/>
    <w:tmpl w:val="788C2156"/>
    <w:lvl w:ilvl="0" w:tplc="206C33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B087B"/>
    <w:multiLevelType w:val="hybridMultilevel"/>
    <w:tmpl w:val="93D830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93A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B80B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32C31F7"/>
    <w:multiLevelType w:val="hybridMultilevel"/>
    <w:tmpl w:val="2B3C2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2D4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102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BF3E4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E1A7149"/>
    <w:multiLevelType w:val="hybridMultilevel"/>
    <w:tmpl w:val="1944CAFC"/>
    <w:lvl w:ilvl="0" w:tplc="83D878A4">
      <w:start w:val="1"/>
      <w:numFmt w:val="upperRoman"/>
      <w:pStyle w:val="AccessibleHeader"/>
      <w:suff w:val="space"/>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46757"/>
    <w:multiLevelType w:val="hybridMultilevel"/>
    <w:tmpl w:val="97D2C2D0"/>
    <w:lvl w:ilvl="0" w:tplc="7ED2C10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10141"/>
    <w:multiLevelType w:val="hybridMultilevel"/>
    <w:tmpl w:val="FB8257DE"/>
    <w:lvl w:ilvl="0" w:tplc="69AEC62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4622DF"/>
    <w:multiLevelType w:val="hybridMultilevel"/>
    <w:tmpl w:val="CC30E31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225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F21140"/>
    <w:multiLevelType w:val="hybridMultilevel"/>
    <w:tmpl w:val="A3D6F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B0A39"/>
    <w:multiLevelType w:val="hybridMultilevel"/>
    <w:tmpl w:val="BF2CA7EE"/>
    <w:lvl w:ilvl="0" w:tplc="F480581C">
      <w:start w:val="1"/>
      <w:numFmt w:val="bullet"/>
      <w:lvlText w:val=""/>
      <w:lvlJc w:val="left"/>
      <w:pPr>
        <w:ind w:left="1440" w:hanging="360"/>
      </w:pPr>
      <w:rPr>
        <w:rFonts w:ascii="Symbol" w:hAnsi="Symbol"/>
      </w:rPr>
    </w:lvl>
    <w:lvl w:ilvl="1" w:tplc="AD62FBFC">
      <w:start w:val="1"/>
      <w:numFmt w:val="bullet"/>
      <w:lvlText w:val=""/>
      <w:lvlJc w:val="left"/>
      <w:pPr>
        <w:ind w:left="1440" w:hanging="360"/>
      </w:pPr>
      <w:rPr>
        <w:rFonts w:ascii="Symbol" w:hAnsi="Symbol"/>
      </w:rPr>
    </w:lvl>
    <w:lvl w:ilvl="2" w:tplc="81AC2872">
      <w:start w:val="1"/>
      <w:numFmt w:val="bullet"/>
      <w:lvlText w:val=""/>
      <w:lvlJc w:val="left"/>
      <w:pPr>
        <w:ind w:left="1440" w:hanging="360"/>
      </w:pPr>
      <w:rPr>
        <w:rFonts w:ascii="Symbol" w:hAnsi="Symbol"/>
      </w:rPr>
    </w:lvl>
    <w:lvl w:ilvl="3" w:tplc="F01626F6">
      <w:start w:val="1"/>
      <w:numFmt w:val="bullet"/>
      <w:lvlText w:val=""/>
      <w:lvlJc w:val="left"/>
      <w:pPr>
        <w:ind w:left="1440" w:hanging="360"/>
      </w:pPr>
      <w:rPr>
        <w:rFonts w:ascii="Symbol" w:hAnsi="Symbol"/>
      </w:rPr>
    </w:lvl>
    <w:lvl w:ilvl="4" w:tplc="FFB09A6A">
      <w:start w:val="1"/>
      <w:numFmt w:val="bullet"/>
      <w:lvlText w:val=""/>
      <w:lvlJc w:val="left"/>
      <w:pPr>
        <w:ind w:left="1440" w:hanging="360"/>
      </w:pPr>
      <w:rPr>
        <w:rFonts w:ascii="Symbol" w:hAnsi="Symbol"/>
      </w:rPr>
    </w:lvl>
    <w:lvl w:ilvl="5" w:tplc="6C383558">
      <w:start w:val="1"/>
      <w:numFmt w:val="bullet"/>
      <w:lvlText w:val=""/>
      <w:lvlJc w:val="left"/>
      <w:pPr>
        <w:ind w:left="1440" w:hanging="360"/>
      </w:pPr>
      <w:rPr>
        <w:rFonts w:ascii="Symbol" w:hAnsi="Symbol"/>
      </w:rPr>
    </w:lvl>
    <w:lvl w:ilvl="6" w:tplc="C52E16DC">
      <w:start w:val="1"/>
      <w:numFmt w:val="bullet"/>
      <w:lvlText w:val=""/>
      <w:lvlJc w:val="left"/>
      <w:pPr>
        <w:ind w:left="1440" w:hanging="360"/>
      </w:pPr>
      <w:rPr>
        <w:rFonts w:ascii="Symbol" w:hAnsi="Symbol"/>
      </w:rPr>
    </w:lvl>
    <w:lvl w:ilvl="7" w:tplc="4FFC0058">
      <w:start w:val="1"/>
      <w:numFmt w:val="bullet"/>
      <w:lvlText w:val=""/>
      <w:lvlJc w:val="left"/>
      <w:pPr>
        <w:ind w:left="1440" w:hanging="360"/>
      </w:pPr>
      <w:rPr>
        <w:rFonts w:ascii="Symbol" w:hAnsi="Symbol"/>
      </w:rPr>
    </w:lvl>
    <w:lvl w:ilvl="8" w:tplc="B0C282FA">
      <w:start w:val="1"/>
      <w:numFmt w:val="bullet"/>
      <w:lvlText w:val=""/>
      <w:lvlJc w:val="left"/>
      <w:pPr>
        <w:ind w:left="1440" w:hanging="360"/>
      </w:pPr>
      <w:rPr>
        <w:rFonts w:ascii="Symbol" w:hAnsi="Symbol"/>
      </w:rPr>
    </w:lvl>
  </w:abstractNum>
  <w:abstractNum w:abstractNumId="32" w15:restartNumberingAfterBreak="0">
    <w:nsid w:val="5DBD5479"/>
    <w:multiLevelType w:val="singleLevel"/>
    <w:tmpl w:val="BF8846E4"/>
    <w:lvl w:ilvl="0">
      <w:start w:val="1"/>
      <w:numFmt w:val="decimal"/>
      <w:lvlText w:val="%1."/>
      <w:lvlJc w:val="left"/>
      <w:pPr>
        <w:tabs>
          <w:tab w:val="num" w:pos="720"/>
        </w:tabs>
        <w:ind w:left="720" w:hanging="720"/>
      </w:pPr>
      <w:rPr>
        <w:rFonts w:hint="default"/>
      </w:rPr>
    </w:lvl>
  </w:abstractNum>
  <w:abstractNum w:abstractNumId="33" w15:restartNumberingAfterBreak="0">
    <w:nsid w:val="60FC7D25"/>
    <w:multiLevelType w:val="hybridMultilevel"/>
    <w:tmpl w:val="858E3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54D09DD"/>
    <w:multiLevelType w:val="hybridMultilevel"/>
    <w:tmpl w:val="A2F8AC56"/>
    <w:lvl w:ilvl="0" w:tplc="13A63EF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6340EE"/>
    <w:multiLevelType w:val="multilevel"/>
    <w:tmpl w:val="9D705994"/>
    <w:numStyleLink w:val="LIST1"/>
  </w:abstractNum>
  <w:abstractNum w:abstractNumId="36" w15:restartNumberingAfterBreak="0">
    <w:nsid w:val="65B4056B"/>
    <w:multiLevelType w:val="hybridMultilevel"/>
    <w:tmpl w:val="7D662E5C"/>
    <w:lvl w:ilvl="0" w:tplc="6060BC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5032F9"/>
    <w:multiLevelType w:val="hybridMultilevel"/>
    <w:tmpl w:val="9E5E1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25AD8"/>
    <w:multiLevelType w:val="hybridMultilevel"/>
    <w:tmpl w:val="CC30E31E"/>
    <w:lvl w:ilvl="0" w:tplc="16262D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CF0D29"/>
    <w:multiLevelType w:val="hybridMultilevel"/>
    <w:tmpl w:val="1FA8EB82"/>
    <w:lvl w:ilvl="0" w:tplc="97D68A7E">
      <w:start w:val="1"/>
      <w:numFmt w:val="upperRoman"/>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5251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E6E1C8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71938660">
    <w:abstractNumId w:val="32"/>
  </w:num>
  <w:num w:numId="2" w16cid:durableId="1306744177">
    <w:abstractNumId w:val="1"/>
  </w:num>
  <w:num w:numId="3" w16cid:durableId="670567907">
    <w:abstractNumId w:val="20"/>
  </w:num>
  <w:num w:numId="4" w16cid:durableId="1929464151">
    <w:abstractNumId w:val="15"/>
  </w:num>
  <w:num w:numId="5" w16cid:durableId="1562789603">
    <w:abstractNumId w:val="40"/>
  </w:num>
  <w:num w:numId="6" w16cid:durableId="604268162">
    <w:abstractNumId w:val="24"/>
  </w:num>
  <w:num w:numId="7" w16cid:durableId="1593124646">
    <w:abstractNumId w:val="22"/>
  </w:num>
  <w:num w:numId="8" w16cid:durableId="83695500">
    <w:abstractNumId w:val="9"/>
  </w:num>
  <w:num w:numId="9" w16cid:durableId="352073860">
    <w:abstractNumId w:val="2"/>
  </w:num>
  <w:num w:numId="10" w16cid:durableId="1832871143">
    <w:abstractNumId w:val="3"/>
  </w:num>
  <w:num w:numId="11" w16cid:durableId="850267328">
    <w:abstractNumId w:val="41"/>
  </w:num>
  <w:num w:numId="12" w16cid:durableId="1658798014">
    <w:abstractNumId w:val="5"/>
  </w:num>
  <w:num w:numId="13" w16cid:durableId="421150983">
    <w:abstractNumId w:val="23"/>
  </w:num>
  <w:num w:numId="14" w16cid:durableId="1478449557">
    <w:abstractNumId w:val="19"/>
  </w:num>
  <w:num w:numId="15" w16cid:durableId="35937427">
    <w:abstractNumId w:val="29"/>
  </w:num>
  <w:num w:numId="16" w16cid:durableId="773667905">
    <w:abstractNumId w:val="25"/>
  </w:num>
  <w:num w:numId="17" w16cid:durableId="1207642443">
    <w:abstractNumId w:val="38"/>
  </w:num>
  <w:num w:numId="18" w16cid:durableId="1866167602">
    <w:abstractNumId w:val="18"/>
  </w:num>
  <w:num w:numId="19" w16cid:durableId="1046755178">
    <w:abstractNumId w:val="28"/>
  </w:num>
  <w:num w:numId="20" w16cid:durableId="196360580">
    <w:abstractNumId w:val="10"/>
  </w:num>
  <w:num w:numId="21" w16cid:durableId="1317681013">
    <w:abstractNumId w:val="7"/>
  </w:num>
  <w:num w:numId="22" w16cid:durableId="1333148014">
    <w:abstractNumId w:val="34"/>
  </w:num>
  <w:num w:numId="23" w16cid:durableId="1631745556">
    <w:abstractNumId w:val="14"/>
  </w:num>
  <w:num w:numId="24" w16cid:durableId="635332014">
    <w:abstractNumId w:val="0"/>
  </w:num>
  <w:num w:numId="25" w16cid:durableId="392310757">
    <w:abstractNumId w:val="35"/>
  </w:num>
  <w:num w:numId="26" w16cid:durableId="567959516">
    <w:abstractNumId w:val="33"/>
  </w:num>
  <w:num w:numId="27" w16cid:durableId="936213401">
    <w:abstractNumId w:val="17"/>
  </w:num>
  <w:num w:numId="28" w16cid:durableId="1635061605">
    <w:abstractNumId w:val="30"/>
  </w:num>
  <w:num w:numId="29" w16cid:durableId="1235159603">
    <w:abstractNumId w:val="8"/>
  </w:num>
  <w:num w:numId="30" w16cid:durableId="47192837">
    <w:abstractNumId w:val="37"/>
  </w:num>
  <w:num w:numId="31" w16cid:durableId="1044523551">
    <w:abstractNumId w:val="16"/>
  </w:num>
  <w:num w:numId="32" w16cid:durableId="658660069">
    <w:abstractNumId w:val="27"/>
  </w:num>
  <w:num w:numId="33" w16cid:durableId="1440832364">
    <w:abstractNumId w:val="36"/>
  </w:num>
  <w:num w:numId="34" w16cid:durableId="1966692338">
    <w:abstractNumId w:val="11"/>
  </w:num>
  <w:num w:numId="35" w16cid:durableId="594631071">
    <w:abstractNumId w:val="31"/>
  </w:num>
  <w:num w:numId="36" w16cid:durableId="2033067328">
    <w:abstractNumId w:val="4"/>
  </w:num>
  <w:num w:numId="37" w16cid:durableId="1321538425">
    <w:abstractNumId w:val="13"/>
  </w:num>
  <w:num w:numId="38" w16cid:durableId="886449668">
    <w:abstractNumId w:val="21"/>
  </w:num>
  <w:num w:numId="39" w16cid:durableId="569779451">
    <w:abstractNumId w:val="6"/>
  </w:num>
  <w:num w:numId="40" w16cid:durableId="1374384397">
    <w:abstractNumId w:val="26"/>
  </w:num>
  <w:num w:numId="41" w16cid:durableId="2032757227">
    <w:abstractNumId w:val="12"/>
  </w:num>
  <w:num w:numId="42" w16cid:durableId="174129348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UpyBN9MbAeH1DfX64Ld62A8kaUgNAT8n0eJN9zBePri3UGyYxKBYvox15OAbs+y6SXuVBYujSyzuzevYWKjmw==" w:salt="1JzQ7xkcSxPG0Cdi6dMjY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0D"/>
    <w:rsid w:val="00000773"/>
    <w:rsid w:val="0000244E"/>
    <w:rsid w:val="00002652"/>
    <w:rsid w:val="00006050"/>
    <w:rsid w:val="00011BDE"/>
    <w:rsid w:val="00017561"/>
    <w:rsid w:val="0003110F"/>
    <w:rsid w:val="0003133F"/>
    <w:rsid w:val="00032588"/>
    <w:rsid w:val="000373E6"/>
    <w:rsid w:val="000379D6"/>
    <w:rsid w:val="0004245C"/>
    <w:rsid w:val="00044CA1"/>
    <w:rsid w:val="00050396"/>
    <w:rsid w:val="000510FD"/>
    <w:rsid w:val="00052D7A"/>
    <w:rsid w:val="000550A4"/>
    <w:rsid w:val="000560F7"/>
    <w:rsid w:val="00063134"/>
    <w:rsid w:val="000710C2"/>
    <w:rsid w:val="000923B8"/>
    <w:rsid w:val="000A4ACF"/>
    <w:rsid w:val="000A7433"/>
    <w:rsid w:val="000B293F"/>
    <w:rsid w:val="000B4F24"/>
    <w:rsid w:val="000B7791"/>
    <w:rsid w:val="000C189B"/>
    <w:rsid w:val="000C3FAF"/>
    <w:rsid w:val="000C5374"/>
    <w:rsid w:val="000C6C42"/>
    <w:rsid w:val="000D3CE2"/>
    <w:rsid w:val="000D48C7"/>
    <w:rsid w:val="000D49DD"/>
    <w:rsid w:val="000E5996"/>
    <w:rsid w:val="000E7E31"/>
    <w:rsid w:val="000F158B"/>
    <w:rsid w:val="000F4FF0"/>
    <w:rsid w:val="000F76D6"/>
    <w:rsid w:val="00100A4B"/>
    <w:rsid w:val="00101E84"/>
    <w:rsid w:val="00103804"/>
    <w:rsid w:val="00110F69"/>
    <w:rsid w:val="00115B2F"/>
    <w:rsid w:val="00121D66"/>
    <w:rsid w:val="00122855"/>
    <w:rsid w:val="00123FFA"/>
    <w:rsid w:val="00124E1F"/>
    <w:rsid w:val="001261EC"/>
    <w:rsid w:val="00127DF7"/>
    <w:rsid w:val="001322B5"/>
    <w:rsid w:val="00136118"/>
    <w:rsid w:val="00136F3F"/>
    <w:rsid w:val="0014073C"/>
    <w:rsid w:val="00142E34"/>
    <w:rsid w:val="00146C80"/>
    <w:rsid w:val="001476FA"/>
    <w:rsid w:val="00152F5D"/>
    <w:rsid w:val="001554C1"/>
    <w:rsid w:val="00162AD5"/>
    <w:rsid w:val="00167318"/>
    <w:rsid w:val="00167564"/>
    <w:rsid w:val="001720B8"/>
    <w:rsid w:val="00173C50"/>
    <w:rsid w:val="00174BF4"/>
    <w:rsid w:val="001A7ADD"/>
    <w:rsid w:val="001B244B"/>
    <w:rsid w:val="001B5183"/>
    <w:rsid w:val="001B653C"/>
    <w:rsid w:val="001C388D"/>
    <w:rsid w:val="001C582B"/>
    <w:rsid w:val="001D0FF8"/>
    <w:rsid w:val="001D3B01"/>
    <w:rsid w:val="001D7B9A"/>
    <w:rsid w:val="001E3CB4"/>
    <w:rsid w:val="001E3F91"/>
    <w:rsid w:val="00205D9A"/>
    <w:rsid w:val="002143BF"/>
    <w:rsid w:val="002305B3"/>
    <w:rsid w:val="00253968"/>
    <w:rsid w:val="00260261"/>
    <w:rsid w:val="002619D6"/>
    <w:rsid w:val="00261C21"/>
    <w:rsid w:val="0026487E"/>
    <w:rsid w:val="0026528F"/>
    <w:rsid w:val="002841FF"/>
    <w:rsid w:val="002914BE"/>
    <w:rsid w:val="002925E6"/>
    <w:rsid w:val="002A0B54"/>
    <w:rsid w:val="002A104F"/>
    <w:rsid w:val="002A12FA"/>
    <w:rsid w:val="002A1DC4"/>
    <w:rsid w:val="002A2883"/>
    <w:rsid w:val="002A36EC"/>
    <w:rsid w:val="002A63B2"/>
    <w:rsid w:val="002B2AAA"/>
    <w:rsid w:val="002B50CC"/>
    <w:rsid w:val="002B55DE"/>
    <w:rsid w:val="002B59E2"/>
    <w:rsid w:val="002B75FE"/>
    <w:rsid w:val="002B7E41"/>
    <w:rsid w:val="002C29D2"/>
    <w:rsid w:val="002C4CAC"/>
    <w:rsid w:val="002D1CA2"/>
    <w:rsid w:val="002D55AB"/>
    <w:rsid w:val="002D71D4"/>
    <w:rsid w:val="002E2E5B"/>
    <w:rsid w:val="002E3215"/>
    <w:rsid w:val="002F22D9"/>
    <w:rsid w:val="002F3426"/>
    <w:rsid w:val="002F61AF"/>
    <w:rsid w:val="0030471A"/>
    <w:rsid w:val="00312EBA"/>
    <w:rsid w:val="003158CE"/>
    <w:rsid w:val="00316317"/>
    <w:rsid w:val="003174C3"/>
    <w:rsid w:val="00320A1E"/>
    <w:rsid w:val="00322845"/>
    <w:rsid w:val="003243DC"/>
    <w:rsid w:val="00326726"/>
    <w:rsid w:val="00331903"/>
    <w:rsid w:val="003327B7"/>
    <w:rsid w:val="003342E4"/>
    <w:rsid w:val="00347F18"/>
    <w:rsid w:val="0035184F"/>
    <w:rsid w:val="00353A5D"/>
    <w:rsid w:val="00357A11"/>
    <w:rsid w:val="0036359E"/>
    <w:rsid w:val="00364BEC"/>
    <w:rsid w:val="00365BA5"/>
    <w:rsid w:val="00367E9F"/>
    <w:rsid w:val="00380531"/>
    <w:rsid w:val="00386B63"/>
    <w:rsid w:val="003A175A"/>
    <w:rsid w:val="003A7A1C"/>
    <w:rsid w:val="003B0292"/>
    <w:rsid w:val="003B1AA7"/>
    <w:rsid w:val="003B2170"/>
    <w:rsid w:val="003B49F0"/>
    <w:rsid w:val="003B6072"/>
    <w:rsid w:val="003C7996"/>
    <w:rsid w:val="003E06C2"/>
    <w:rsid w:val="003E7F6A"/>
    <w:rsid w:val="003F5424"/>
    <w:rsid w:val="003F5D47"/>
    <w:rsid w:val="003F75C5"/>
    <w:rsid w:val="00403891"/>
    <w:rsid w:val="00417DCF"/>
    <w:rsid w:val="00421BEF"/>
    <w:rsid w:val="0042333E"/>
    <w:rsid w:val="00423DD7"/>
    <w:rsid w:val="0044481F"/>
    <w:rsid w:val="00446501"/>
    <w:rsid w:val="004504E3"/>
    <w:rsid w:val="00450FC8"/>
    <w:rsid w:val="0045113B"/>
    <w:rsid w:val="004518EB"/>
    <w:rsid w:val="0046138F"/>
    <w:rsid w:val="00461768"/>
    <w:rsid w:val="00474078"/>
    <w:rsid w:val="00481854"/>
    <w:rsid w:val="004836C6"/>
    <w:rsid w:val="00483B95"/>
    <w:rsid w:val="00484B23"/>
    <w:rsid w:val="00487DAC"/>
    <w:rsid w:val="004933DE"/>
    <w:rsid w:val="00495366"/>
    <w:rsid w:val="004A6057"/>
    <w:rsid w:val="004B1814"/>
    <w:rsid w:val="004B290C"/>
    <w:rsid w:val="004B2FC7"/>
    <w:rsid w:val="004C14D0"/>
    <w:rsid w:val="004C5813"/>
    <w:rsid w:val="004C6573"/>
    <w:rsid w:val="004D2E5B"/>
    <w:rsid w:val="004D5EAF"/>
    <w:rsid w:val="004D6239"/>
    <w:rsid w:val="004F1DC0"/>
    <w:rsid w:val="004F6CD8"/>
    <w:rsid w:val="005103A7"/>
    <w:rsid w:val="005104BC"/>
    <w:rsid w:val="0051727F"/>
    <w:rsid w:val="00517773"/>
    <w:rsid w:val="005250A0"/>
    <w:rsid w:val="00535897"/>
    <w:rsid w:val="005363DD"/>
    <w:rsid w:val="00537537"/>
    <w:rsid w:val="005409D5"/>
    <w:rsid w:val="00544389"/>
    <w:rsid w:val="00544973"/>
    <w:rsid w:val="00570F54"/>
    <w:rsid w:val="00573B71"/>
    <w:rsid w:val="00576AF8"/>
    <w:rsid w:val="00584A08"/>
    <w:rsid w:val="00585CC6"/>
    <w:rsid w:val="00590770"/>
    <w:rsid w:val="005A0754"/>
    <w:rsid w:val="005B35CA"/>
    <w:rsid w:val="005B7443"/>
    <w:rsid w:val="005B7C66"/>
    <w:rsid w:val="005C227C"/>
    <w:rsid w:val="005C319F"/>
    <w:rsid w:val="005F2B4E"/>
    <w:rsid w:val="005F76B1"/>
    <w:rsid w:val="0060171E"/>
    <w:rsid w:val="00603F05"/>
    <w:rsid w:val="00605F0D"/>
    <w:rsid w:val="00607044"/>
    <w:rsid w:val="00626B2F"/>
    <w:rsid w:val="00631644"/>
    <w:rsid w:val="00645FAD"/>
    <w:rsid w:val="00665DF3"/>
    <w:rsid w:val="006713AE"/>
    <w:rsid w:val="00674360"/>
    <w:rsid w:val="006772DA"/>
    <w:rsid w:val="0068796F"/>
    <w:rsid w:val="00692170"/>
    <w:rsid w:val="006939E4"/>
    <w:rsid w:val="006965BB"/>
    <w:rsid w:val="006965F0"/>
    <w:rsid w:val="006A5E99"/>
    <w:rsid w:val="006B0C49"/>
    <w:rsid w:val="006B0E0D"/>
    <w:rsid w:val="006B336B"/>
    <w:rsid w:val="006B41D4"/>
    <w:rsid w:val="006B7BFB"/>
    <w:rsid w:val="006C32D6"/>
    <w:rsid w:val="006D0482"/>
    <w:rsid w:val="006D37C8"/>
    <w:rsid w:val="006D37D8"/>
    <w:rsid w:val="006D4815"/>
    <w:rsid w:val="006E41CA"/>
    <w:rsid w:val="006F3B51"/>
    <w:rsid w:val="007011CC"/>
    <w:rsid w:val="00702978"/>
    <w:rsid w:val="007034E7"/>
    <w:rsid w:val="0070577D"/>
    <w:rsid w:val="007067C6"/>
    <w:rsid w:val="00722165"/>
    <w:rsid w:val="0072518A"/>
    <w:rsid w:val="00725984"/>
    <w:rsid w:val="007261F1"/>
    <w:rsid w:val="007279BF"/>
    <w:rsid w:val="00734F45"/>
    <w:rsid w:val="007361E0"/>
    <w:rsid w:val="007363A9"/>
    <w:rsid w:val="00744965"/>
    <w:rsid w:val="007664C4"/>
    <w:rsid w:val="007664E7"/>
    <w:rsid w:val="00770D9B"/>
    <w:rsid w:val="00772741"/>
    <w:rsid w:val="0077646E"/>
    <w:rsid w:val="00781BE3"/>
    <w:rsid w:val="007834BC"/>
    <w:rsid w:val="00793154"/>
    <w:rsid w:val="007A0184"/>
    <w:rsid w:val="007A19B7"/>
    <w:rsid w:val="007A6F6F"/>
    <w:rsid w:val="007A7FFD"/>
    <w:rsid w:val="007D4770"/>
    <w:rsid w:val="007D6482"/>
    <w:rsid w:val="007F439A"/>
    <w:rsid w:val="007F622A"/>
    <w:rsid w:val="008000EA"/>
    <w:rsid w:val="00821BD4"/>
    <w:rsid w:val="00822EB4"/>
    <w:rsid w:val="00823764"/>
    <w:rsid w:val="00824832"/>
    <w:rsid w:val="008251EE"/>
    <w:rsid w:val="00827E0F"/>
    <w:rsid w:val="0083375A"/>
    <w:rsid w:val="008347C5"/>
    <w:rsid w:val="00834E5C"/>
    <w:rsid w:val="00837EF7"/>
    <w:rsid w:val="0084008B"/>
    <w:rsid w:val="0084637A"/>
    <w:rsid w:val="008506B0"/>
    <w:rsid w:val="00852861"/>
    <w:rsid w:val="00852B08"/>
    <w:rsid w:val="008531BA"/>
    <w:rsid w:val="00855CA2"/>
    <w:rsid w:val="00856085"/>
    <w:rsid w:val="0086076E"/>
    <w:rsid w:val="00864666"/>
    <w:rsid w:val="00865745"/>
    <w:rsid w:val="00866845"/>
    <w:rsid w:val="00874843"/>
    <w:rsid w:val="00876A89"/>
    <w:rsid w:val="00877C7B"/>
    <w:rsid w:val="00883F61"/>
    <w:rsid w:val="00885020"/>
    <w:rsid w:val="00891527"/>
    <w:rsid w:val="00894696"/>
    <w:rsid w:val="00897FA4"/>
    <w:rsid w:val="008A13C1"/>
    <w:rsid w:val="008A5EBA"/>
    <w:rsid w:val="008B324B"/>
    <w:rsid w:val="008B491F"/>
    <w:rsid w:val="008B5E3F"/>
    <w:rsid w:val="008C1A99"/>
    <w:rsid w:val="008C48FC"/>
    <w:rsid w:val="008D2212"/>
    <w:rsid w:val="008D425B"/>
    <w:rsid w:val="008F3EBF"/>
    <w:rsid w:val="00905C09"/>
    <w:rsid w:val="00906B32"/>
    <w:rsid w:val="0091398D"/>
    <w:rsid w:val="00916604"/>
    <w:rsid w:val="009166E1"/>
    <w:rsid w:val="00920526"/>
    <w:rsid w:val="00922988"/>
    <w:rsid w:val="0092355C"/>
    <w:rsid w:val="009239E1"/>
    <w:rsid w:val="00926960"/>
    <w:rsid w:val="0094343E"/>
    <w:rsid w:val="009436A2"/>
    <w:rsid w:val="00950A57"/>
    <w:rsid w:val="00956FC2"/>
    <w:rsid w:val="00960A2D"/>
    <w:rsid w:val="009625B5"/>
    <w:rsid w:val="0096626B"/>
    <w:rsid w:val="009714F0"/>
    <w:rsid w:val="00972C16"/>
    <w:rsid w:val="00976953"/>
    <w:rsid w:val="009779DA"/>
    <w:rsid w:val="00985205"/>
    <w:rsid w:val="009A346F"/>
    <w:rsid w:val="009A6BC5"/>
    <w:rsid w:val="009B0DDE"/>
    <w:rsid w:val="009B4849"/>
    <w:rsid w:val="009C296E"/>
    <w:rsid w:val="009D491D"/>
    <w:rsid w:val="009F4B7F"/>
    <w:rsid w:val="009F4F95"/>
    <w:rsid w:val="00A05F0C"/>
    <w:rsid w:val="00A06D85"/>
    <w:rsid w:val="00A12CC3"/>
    <w:rsid w:val="00A12F5A"/>
    <w:rsid w:val="00A21D98"/>
    <w:rsid w:val="00A22060"/>
    <w:rsid w:val="00A2477E"/>
    <w:rsid w:val="00A35990"/>
    <w:rsid w:val="00A439A9"/>
    <w:rsid w:val="00A454D6"/>
    <w:rsid w:val="00A46BDA"/>
    <w:rsid w:val="00A53C43"/>
    <w:rsid w:val="00A572D3"/>
    <w:rsid w:val="00A65773"/>
    <w:rsid w:val="00A6674B"/>
    <w:rsid w:val="00A67B5C"/>
    <w:rsid w:val="00A67BF9"/>
    <w:rsid w:val="00A72E9C"/>
    <w:rsid w:val="00A735E9"/>
    <w:rsid w:val="00A750F5"/>
    <w:rsid w:val="00A830A5"/>
    <w:rsid w:val="00A91338"/>
    <w:rsid w:val="00AA1EFD"/>
    <w:rsid w:val="00AA7052"/>
    <w:rsid w:val="00AB0D19"/>
    <w:rsid w:val="00AB0DF8"/>
    <w:rsid w:val="00AB21A3"/>
    <w:rsid w:val="00AB3594"/>
    <w:rsid w:val="00AB6124"/>
    <w:rsid w:val="00AB70C3"/>
    <w:rsid w:val="00AC4150"/>
    <w:rsid w:val="00AD225F"/>
    <w:rsid w:val="00AD3185"/>
    <w:rsid w:val="00AD4A79"/>
    <w:rsid w:val="00AE2C28"/>
    <w:rsid w:val="00AE43E9"/>
    <w:rsid w:val="00AF2D14"/>
    <w:rsid w:val="00B06A71"/>
    <w:rsid w:val="00B07475"/>
    <w:rsid w:val="00B206F7"/>
    <w:rsid w:val="00B20D1C"/>
    <w:rsid w:val="00B23202"/>
    <w:rsid w:val="00B2411D"/>
    <w:rsid w:val="00B26888"/>
    <w:rsid w:val="00B30449"/>
    <w:rsid w:val="00B42BCC"/>
    <w:rsid w:val="00B43451"/>
    <w:rsid w:val="00B47341"/>
    <w:rsid w:val="00B51720"/>
    <w:rsid w:val="00B536C2"/>
    <w:rsid w:val="00B545E2"/>
    <w:rsid w:val="00B54DDF"/>
    <w:rsid w:val="00B75EAB"/>
    <w:rsid w:val="00B7637C"/>
    <w:rsid w:val="00B81F7C"/>
    <w:rsid w:val="00B827AD"/>
    <w:rsid w:val="00B85360"/>
    <w:rsid w:val="00B933F3"/>
    <w:rsid w:val="00B95D6B"/>
    <w:rsid w:val="00B967C1"/>
    <w:rsid w:val="00BA1A79"/>
    <w:rsid w:val="00BA36C1"/>
    <w:rsid w:val="00BA46E0"/>
    <w:rsid w:val="00BB0298"/>
    <w:rsid w:val="00BB58BB"/>
    <w:rsid w:val="00BB7600"/>
    <w:rsid w:val="00BC72AD"/>
    <w:rsid w:val="00BD07E1"/>
    <w:rsid w:val="00BD2DD0"/>
    <w:rsid w:val="00BD6872"/>
    <w:rsid w:val="00BE2480"/>
    <w:rsid w:val="00BF60BB"/>
    <w:rsid w:val="00C02F2E"/>
    <w:rsid w:val="00C048DA"/>
    <w:rsid w:val="00C11229"/>
    <w:rsid w:val="00C17CFD"/>
    <w:rsid w:val="00C21A7C"/>
    <w:rsid w:val="00C23F7D"/>
    <w:rsid w:val="00C41A0C"/>
    <w:rsid w:val="00C44121"/>
    <w:rsid w:val="00C51931"/>
    <w:rsid w:val="00C54E9F"/>
    <w:rsid w:val="00C55377"/>
    <w:rsid w:val="00C569E2"/>
    <w:rsid w:val="00C67335"/>
    <w:rsid w:val="00C75D27"/>
    <w:rsid w:val="00C76645"/>
    <w:rsid w:val="00C81E3C"/>
    <w:rsid w:val="00C86142"/>
    <w:rsid w:val="00CA3065"/>
    <w:rsid w:val="00CA6097"/>
    <w:rsid w:val="00CA6F67"/>
    <w:rsid w:val="00CC2770"/>
    <w:rsid w:val="00CC6C8F"/>
    <w:rsid w:val="00CD23F3"/>
    <w:rsid w:val="00CD6042"/>
    <w:rsid w:val="00CD7255"/>
    <w:rsid w:val="00CE23C3"/>
    <w:rsid w:val="00CE27B7"/>
    <w:rsid w:val="00CE397E"/>
    <w:rsid w:val="00CF0FAD"/>
    <w:rsid w:val="00CF39E8"/>
    <w:rsid w:val="00D208B8"/>
    <w:rsid w:val="00D25D6B"/>
    <w:rsid w:val="00D31023"/>
    <w:rsid w:val="00D33663"/>
    <w:rsid w:val="00D346F1"/>
    <w:rsid w:val="00D367E9"/>
    <w:rsid w:val="00D409C8"/>
    <w:rsid w:val="00D43084"/>
    <w:rsid w:val="00D4465D"/>
    <w:rsid w:val="00D71B2A"/>
    <w:rsid w:val="00D80720"/>
    <w:rsid w:val="00D90C68"/>
    <w:rsid w:val="00D91EBA"/>
    <w:rsid w:val="00D974CA"/>
    <w:rsid w:val="00DA58BC"/>
    <w:rsid w:val="00DA7114"/>
    <w:rsid w:val="00DB08FB"/>
    <w:rsid w:val="00DB26C1"/>
    <w:rsid w:val="00DC0162"/>
    <w:rsid w:val="00DC16B9"/>
    <w:rsid w:val="00DC611D"/>
    <w:rsid w:val="00DD3FAF"/>
    <w:rsid w:val="00DD4227"/>
    <w:rsid w:val="00DD71A4"/>
    <w:rsid w:val="00DE205E"/>
    <w:rsid w:val="00DE422E"/>
    <w:rsid w:val="00DE52E6"/>
    <w:rsid w:val="00DE6978"/>
    <w:rsid w:val="00DF0088"/>
    <w:rsid w:val="00DF06EA"/>
    <w:rsid w:val="00DF1DD2"/>
    <w:rsid w:val="00E00FEE"/>
    <w:rsid w:val="00E04324"/>
    <w:rsid w:val="00E0607D"/>
    <w:rsid w:val="00E06B3A"/>
    <w:rsid w:val="00E10C89"/>
    <w:rsid w:val="00E14BA9"/>
    <w:rsid w:val="00E17CC4"/>
    <w:rsid w:val="00E21C61"/>
    <w:rsid w:val="00E255C1"/>
    <w:rsid w:val="00E2764A"/>
    <w:rsid w:val="00E31039"/>
    <w:rsid w:val="00E34156"/>
    <w:rsid w:val="00E34DF2"/>
    <w:rsid w:val="00E60E0E"/>
    <w:rsid w:val="00E60F3F"/>
    <w:rsid w:val="00E6108A"/>
    <w:rsid w:val="00E63E4A"/>
    <w:rsid w:val="00E647F4"/>
    <w:rsid w:val="00E64DD4"/>
    <w:rsid w:val="00E65A81"/>
    <w:rsid w:val="00E72D71"/>
    <w:rsid w:val="00E74462"/>
    <w:rsid w:val="00E86831"/>
    <w:rsid w:val="00E904F0"/>
    <w:rsid w:val="00E9118A"/>
    <w:rsid w:val="00E9538A"/>
    <w:rsid w:val="00EA03B1"/>
    <w:rsid w:val="00EA061C"/>
    <w:rsid w:val="00EB03E9"/>
    <w:rsid w:val="00EB2902"/>
    <w:rsid w:val="00EB2F59"/>
    <w:rsid w:val="00EB7D9C"/>
    <w:rsid w:val="00EC654E"/>
    <w:rsid w:val="00ED1DC8"/>
    <w:rsid w:val="00ED37A9"/>
    <w:rsid w:val="00ED4A88"/>
    <w:rsid w:val="00EE1EBD"/>
    <w:rsid w:val="00EE68C6"/>
    <w:rsid w:val="00EF1032"/>
    <w:rsid w:val="00EF12B5"/>
    <w:rsid w:val="00EF1F54"/>
    <w:rsid w:val="00EF4961"/>
    <w:rsid w:val="00EF74D3"/>
    <w:rsid w:val="00F0072F"/>
    <w:rsid w:val="00F10C07"/>
    <w:rsid w:val="00F13694"/>
    <w:rsid w:val="00F16B7E"/>
    <w:rsid w:val="00F3150B"/>
    <w:rsid w:val="00F346EE"/>
    <w:rsid w:val="00F367DE"/>
    <w:rsid w:val="00F3690C"/>
    <w:rsid w:val="00F469E5"/>
    <w:rsid w:val="00F553B2"/>
    <w:rsid w:val="00F562EE"/>
    <w:rsid w:val="00F63691"/>
    <w:rsid w:val="00F655F9"/>
    <w:rsid w:val="00F66452"/>
    <w:rsid w:val="00F72C75"/>
    <w:rsid w:val="00F74857"/>
    <w:rsid w:val="00F84CEE"/>
    <w:rsid w:val="00F85831"/>
    <w:rsid w:val="00F85CA6"/>
    <w:rsid w:val="00F87D26"/>
    <w:rsid w:val="00FA7AF6"/>
    <w:rsid w:val="00FA7DC8"/>
    <w:rsid w:val="00FA7E0F"/>
    <w:rsid w:val="00FB0E1F"/>
    <w:rsid w:val="00FB241E"/>
    <w:rsid w:val="00FB3944"/>
    <w:rsid w:val="00FC0E88"/>
    <w:rsid w:val="00FC33B1"/>
    <w:rsid w:val="00FC71ED"/>
    <w:rsid w:val="00FD24EE"/>
    <w:rsid w:val="00FD7643"/>
    <w:rsid w:val="00FE4AFE"/>
    <w:rsid w:val="00FE4BA6"/>
    <w:rsid w:val="00FF121A"/>
    <w:rsid w:val="00FF44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2E200"/>
  <w15:chartTrackingRefBased/>
  <w15:docId w15:val="{27A8ABD5-F41A-47C7-B753-3C769771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1"/>
    <w:qFormat/>
    <w:rsid w:val="002925E6"/>
    <w:rPr>
      <w:rFonts w:ascii="Abadi" w:hAnsi="Abadi"/>
      <w:sz w:val="24"/>
    </w:rPr>
  </w:style>
  <w:style w:type="paragraph" w:styleId="Heading1">
    <w:name w:val="heading 1"/>
    <w:basedOn w:val="Normal"/>
    <w:next w:val="Normal"/>
    <w:qFormat/>
    <w:rsid w:val="004C5813"/>
    <w:pPr>
      <w:keepNext/>
      <w:spacing w:after="240"/>
      <w:ind w:left="720" w:hanging="634"/>
      <w:jc w:val="center"/>
      <w:outlineLvl w:val="0"/>
    </w:pPr>
    <w:rPr>
      <w:rFonts w:ascii="Arial" w:hAnsi="Arial" w:cs="Arial"/>
      <w:b/>
      <w:bCs/>
      <w:sz w:val="28"/>
      <w:szCs w:val="28"/>
    </w:rPr>
  </w:style>
  <w:style w:type="paragraph" w:styleId="Heading2">
    <w:name w:val="heading 2"/>
    <w:basedOn w:val="Normal"/>
    <w:next w:val="Normal"/>
    <w:qFormat/>
    <w:rsid w:val="00331903"/>
    <w:pPr>
      <w:keepNext/>
      <w:numPr>
        <w:numId w:val="42"/>
      </w:numPr>
      <w:spacing w:after="240"/>
      <w:ind w:left="360"/>
      <w:outlineLvl w:val="1"/>
    </w:pPr>
    <w:rPr>
      <w:rFonts w:ascii="Arial" w:hAnsi="Arial"/>
      <w:b/>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hanging="630"/>
    </w:pPr>
  </w:style>
  <w:style w:type="paragraph" w:styleId="BodyTextIndent2">
    <w:name w:val="Body Text Indent 2"/>
    <w:basedOn w:val="Normal"/>
    <w:pPr>
      <w:ind w:left="90"/>
    </w:pPr>
  </w:style>
  <w:style w:type="paragraph" w:customStyle="1" w:styleId="CompanyName">
    <w:name w:val="Company Name"/>
    <w:basedOn w:val="Normal"/>
    <w:pPr>
      <w:framePr w:w="3845" w:h="1584" w:hSpace="187" w:vSpace="187" w:wrap="notBeside" w:vAnchor="page" w:hAnchor="margin" w:y="894" w:anchorLock="1"/>
      <w:spacing w:line="280" w:lineRule="atLeast"/>
      <w:jc w:val="both"/>
    </w:pPr>
    <w:rPr>
      <w:rFonts w:ascii="Arial Black" w:hAnsi="Arial Black"/>
      <w:spacing w:val="-25"/>
      <w:sz w:val="32"/>
    </w:rPr>
  </w:style>
  <w:style w:type="paragraph" w:styleId="Date">
    <w:name w:val="Date"/>
    <w:basedOn w:val="Normal"/>
    <w:next w:val="InsideAddressName"/>
    <w:pPr>
      <w:spacing w:after="220" w:line="220" w:lineRule="atLeast"/>
      <w:jc w:val="both"/>
    </w:pPr>
    <w:rPr>
      <w:rFonts w:ascii="Arial" w:hAnsi="Arial"/>
      <w:spacing w:val="-5"/>
    </w:rPr>
  </w:style>
  <w:style w:type="paragraph" w:customStyle="1" w:styleId="InsideAddressName">
    <w:name w:val="Inside Address Name"/>
    <w:basedOn w:val="Normal"/>
    <w:next w:val="Normal"/>
    <w:pPr>
      <w:spacing w:before="220" w:line="220" w:lineRule="atLeast"/>
      <w:jc w:val="both"/>
    </w:pPr>
    <w:rPr>
      <w:rFonts w:ascii="Arial" w:hAnsi="Arial"/>
      <w:spacing w:val="-5"/>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rPr>
  </w:style>
  <w:style w:type="paragraph" w:customStyle="1" w:styleId="SignatureJobTitle">
    <w:name w:val="Signature Job Title"/>
    <w:basedOn w:val="Signature"/>
    <w:next w:val="Normal"/>
    <w:pPr>
      <w:keepNext/>
      <w:spacing w:line="220" w:lineRule="atLeast"/>
      <w:ind w:left="0"/>
    </w:pPr>
    <w:rPr>
      <w:rFonts w:ascii="Arial" w:hAnsi="Arial"/>
      <w:spacing w:val="-5"/>
    </w:rPr>
  </w:style>
  <w:style w:type="paragraph" w:styleId="Signature">
    <w:name w:val="Signature"/>
    <w:basedOn w:val="Normal"/>
    <w:pPr>
      <w:ind w:left="432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FollowedHyperlink">
    <w:name w:val="FollowedHyperlink"/>
    <w:rPr>
      <w:color w:val="800080"/>
      <w:u w:val="single"/>
    </w:rPr>
  </w:style>
  <w:style w:type="paragraph" w:styleId="Salutation">
    <w:name w:val="Salutation"/>
    <w:basedOn w:val="Normal"/>
    <w:next w:val="Normal"/>
    <w:pPr>
      <w:spacing w:before="220" w:after="220" w:line="220" w:lineRule="atLeast"/>
    </w:pPr>
    <w:rPr>
      <w:rFonts w:ascii="Arial" w:hAnsi="Arial"/>
      <w:spacing w:val="-5"/>
    </w:rPr>
  </w:style>
  <w:style w:type="paragraph" w:styleId="Closing">
    <w:name w:val="Closing"/>
    <w:basedOn w:val="Normal"/>
    <w:next w:val="Signature"/>
    <w:pPr>
      <w:keepNext/>
      <w:spacing w:after="60" w:line="220" w:lineRule="atLeast"/>
      <w:jc w:val="both"/>
    </w:pPr>
    <w:rPr>
      <w:rFonts w:ascii="Arial" w:hAnsi="Arial"/>
      <w:spacing w:val="-5"/>
    </w:rPr>
  </w:style>
  <w:style w:type="paragraph" w:customStyle="1" w:styleId="CcList">
    <w:name w:val="Cc List"/>
    <w:basedOn w:val="Normal"/>
    <w:pPr>
      <w:keepLines/>
      <w:spacing w:line="220" w:lineRule="atLeast"/>
      <w:ind w:left="360" w:hanging="360"/>
      <w:jc w:val="both"/>
    </w:pPr>
    <w:rPr>
      <w:rFonts w:ascii="Arial" w:hAnsi="Arial"/>
      <w:spacing w:val="-5"/>
    </w:rPr>
  </w:style>
  <w:style w:type="character" w:customStyle="1" w:styleId="FooterChar">
    <w:name w:val="Footer Char"/>
    <w:link w:val="Footer"/>
    <w:rsid w:val="008F3EBF"/>
  </w:style>
  <w:style w:type="character" w:styleId="UnresolvedMention">
    <w:name w:val="Unresolved Mention"/>
    <w:uiPriority w:val="99"/>
    <w:semiHidden/>
    <w:unhideWhenUsed/>
    <w:rsid w:val="00110F69"/>
    <w:rPr>
      <w:color w:val="605E5C"/>
      <w:shd w:val="clear" w:color="auto" w:fill="E1DFDD"/>
    </w:rPr>
  </w:style>
  <w:style w:type="paragraph" w:styleId="ListParagraph">
    <w:name w:val="List Paragraph"/>
    <w:basedOn w:val="Normal"/>
    <w:link w:val="ListParagraphChar"/>
    <w:uiPriority w:val="34"/>
    <w:qFormat/>
    <w:rsid w:val="006E41CA"/>
    <w:pPr>
      <w:spacing w:after="160" w:line="259" w:lineRule="auto"/>
      <w:ind w:left="720"/>
      <w:contextualSpacing/>
    </w:pPr>
    <w:rPr>
      <w:rFonts w:ascii="Aptos" w:eastAsia="Aptos" w:hAnsi="Aptos"/>
      <w:kern w:val="2"/>
      <w:sz w:val="22"/>
      <w:szCs w:val="22"/>
    </w:rPr>
  </w:style>
  <w:style w:type="paragraph" w:customStyle="1" w:styleId="AccessibleHeader">
    <w:name w:val="Accessible Header"/>
    <w:basedOn w:val="Heading1"/>
    <w:link w:val="AccessibleHeaderChar"/>
    <w:qFormat/>
    <w:rsid w:val="00A53C43"/>
    <w:pPr>
      <w:keepLines/>
      <w:numPr>
        <w:numId w:val="16"/>
      </w:numPr>
      <w:spacing w:before="240"/>
      <w:jc w:val="left"/>
    </w:pPr>
    <w:rPr>
      <w:b w:val="0"/>
      <w:bCs w:val="0"/>
      <w:kern w:val="2"/>
    </w:rPr>
  </w:style>
  <w:style w:type="character" w:customStyle="1" w:styleId="ListParagraphChar">
    <w:name w:val="List Paragraph Char"/>
    <w:link w:val="ListParagraph"/>
    <w:uiPriority w:val="34"/>
    <w:rsid w:val="006E41CA"/>
    <w:rPr>
      <w:rFonts w:ascii="Aptos" w:eastAsia="Aptos" w:hAnsi="Aptos"/>
      <w:kern w:val="2"/>
      <w:sz w:val="22"/>
      <w:szCs w:val="22"/>
    </w:rPr>
  </w:style>
  <w:style w:type="character" w:customStyle="1" w:styleId="AccessibleHeaderChar">
    <w:name w:val="Accessible Header Char"/>
    <w:link w:val="AccessibleHeader"/>
    <w:rsid w:val="00A53C43"/>
    <w:rPr>
      <w:rFonts w:ascii="Arial" w:hAnsi="Arial" w:cs="Arial"/>
      <w:b/>
      <w:bCs/>
      <w:kern w:val="2"/>
      <w:sz w:val="28"/>
      <w:szCs w:val="28"/>
    </w:rPr>
  </w:style>
  <w:style w:type="character" w:styleId="CommentReference">
    <w:name w:val="annotation reference"/>
    <w:uiPriority w:val="99"/>
    <w:unhideWhenUsed/>
    <w:rsid w:val="006E41CA"/>
    <w:rPr>
      <w:sz w:val="16"/>
      <w:szCs w:val="16"/>
    </w:rPr>
  </w:style>
  <w:style w:type="paragraph" w:styleId="CommentText">
    <w:name w:val="annotation text"/>
    <w:basedOn w:val="Normal"/>
    <w:link w:val="CommentTextChar"/>
    <w:uiPriority w:val="99"/>
    <w:unhideWhenUsed/>
    <w:rsid w:val="006E41CA"/>
    <w:pPr>
      <w:spacing w:after="160"/>
    </w:pPr>
    <w:rPr>
      <w:rFonts w:ascii="Aptos" w:eastAsia="Aptos" w:hAnsi="Aptos"/>
      <w:kern w:val="2"/>
    </w:rPr>
  </w:style>
  <w:style w:type="character" w:customStyle="1" w:styleId="CommentTextChar">
    <w:name w:val="Comment Text Char"/>
    <w:link w:val="CommentText"/>
    <w:uiPriority w:val="99"/>
    <w:rsid w:val="006E41CA"/>
    <w:rPr>
      <w:rFonts w:ascii="Aptos" w:eastAsia="Aptos" w:hAnsi="Aptos"/>
      <w:kern w:val="2"/>
    </w:rPr>
  </w:style>
  <w:style w:type="paragraph" w:styleId="CommentSubject">
    <w:name w:val="annotation subject"/>
    <w:basedOn w:val="CommentText"/>
    <w:next w:val="CommentText"/>
    <w:link w:val="CommentSubjectChar"/>
    <w:rsid w:val="00DF1DD2"/>
    <w:pPr>
      <w:spacing w:after="0"/>
    </w:pPr>
    <w:rPr>
      <w:rFonts w:ascii="Times New Roman" w:eastAsia="Times New Roman" w:hAnsi="Times New Roman"/>
      <w:b/>
      <w:bCs/>
      <w:kern w:val="0"/>
    </w:rPr>
  </w:style>
  <w:style w:type="character" w:customStyle="1" w:styleId="CommentSubjectChar">
    <w:name w:val="Comment Subject Char"/>
    <w:link w:val="CommentSubject"/>
    <w:rsid w:val="00DF1DD2"/>
    <w:rPr>
      <w:rFonts w:ascii="Aptos" w:eastAsia="Aptos" w:hAnsi="Aptos"/>
      <w:b/>
      <w:bCs/>
      <w:kern w:val="2"/>
    </w:rPr>
  </w:style>
  <w:style w:type="paragraph" w:styleId="Revision">
    <w:name w:val="Revision"/>
    <w:hidden/>
    <w:uiPriority w:val="99"/>
    <w:semiHidden/>
    <w:rsid w:val="00793154"/>
  </w:style>
  <w:style w:type="numbering" w:customStyle="1" w:styleId="LIST1">
    <w:name w:val="LIST1"/>
    <w:basedOn w:val="NoList"/>
    <w:uiPriority w:val="99"/>
    <w:rsid w:val="00FC0E88"/>
    <w:pPr>
      <w:numPr>
        <w:numId w:val="24"/>
      </w:numPr>
    </w:pPr>
  </w:style>
  <w:style w:type="character" w:customStyle="1" w:styleId="cf01">
    <w:name w:val="cf01"/>
    <w:rsid w:val="00A06D85"/>
    <w:rPr>
      <w:rFonts w:ascii="Segoe UI" w:hAnsi="Segoe UI" w:cs="Segoe UI" w:hint="default"/>
      <w:sz w:val="18"/>
      <w:szCs w:val="18"/>
    </w:rPr>
  </w:style>
  <w:style w:type="paragraph" w:styleId="FootnoteText">
    <w:name w:val="footnote text"/>
    <w:basedOn w:val="Normal"/>
    <w:link w:val="FootnoteTextChar"/>
    <w:uiPriority w:val="99"/>
    <w:unhideWhenUsed/>
    <w:rsid w:val="005C319F"/>
  </w:style>
  <w:style w:type="character" w:customStyle="1" w:styleId="FootnoteTextChar">
    <w:name w:val="Footnote Text Char"/>
    <w:basedOn w:val="DefaultParagraphFont"/>
    <w:link w:val="FootnoteText"/>
    <w:uiPriority w:val="99"/>
    <w:rsid w:val="005C319F"/>
  </w:style>
  <w:style w:type="character" w:styleId="FootnoteReference">
    <w:name w:val="footnote reference"/>
    <w:uiPriority w:val="99"/>
    <w:unhideWhenUsed/>
    <w:rsid w:val="005C319F"/>
    <w:rPr>
      <w:vertAlign w:val="superscript"/>
    </w:rPr>
  </w:style>
  <w:style w:type="character" w:styleId="Mention">
    <w:name w:val="Mention"/>
    <w:uiPriority w:val="99"/>
    <w:unhideWhenUsed/>
    <w:rsid w:val="002A12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693269">
      <w:bodyDiv w:val="1"/>
      <w:marLeft w:val="0"/>
      <w:marRight w:val="0"/>
      <w:marTop w:val="0"/>
      <w:marBottom w:val="0"/>
      <w:divBdr>
        <w:top w:val="none" w:sz="0" w:space="0" w:color="auto"/>
        <w:left w:val="none" w:sz="0" w:space="0" w:color="auto"/>
        <w:bottom w:val="none" w:sz="0" w:space="0" w:color="auto"/>
        <w:right w:val="none" w:sz="0" w:space="0" w:color="auto"/>
      </w:divBdr>
    </w:div>
    <w:div w:id="685712172">
      <w:bodyDiv w:val="1"/>
      <w:marLeft w:val="0"/>
      <w:marRight w:val="0"/>
      <w:marTop w:val="0"/>
      <w:marBottom w:val="0"/>
      <w:divBdr>
        <w:top w:val="none" w:sz="0" w:space="0" w:color="auto"/>
        <w:left w:val="none" w:sz="0" w:space="0" w:color="auto"/>
        <w:bottom w:val="none" w:sz="0" w:space="0" w:color="auto"/>
        <w:right w:val="none" w:sz="0" w:space="0" w:color="auto"/>
      </w:divBdr>
    </w:div>
    <w:div w:id="1758095542">
      <w:bodyDiv w:val="1"/>
      <w:marLeft w:val="0"/>
      <w:marRight w:val="0"/>
      <w:marTop w:val="0"/>
      <w:marBottom w:val="0"/>
      <w:divBdr>
        <w:top w:val="none" w:sz="0" w:space="0" w:color="auto"/>
        <w:left w:val="none" w:sz="0" w:space="0" w:color="auto"/>
        <w:bottom w:val="none" w:sz="0" w:space="0" w:color="auto"/>
        <w:right w:val="none" w:sz="0" w:space="0" w:color="auto"/>
      </w:divBdr>
    </w:div>
    <w:div w:id="1851866189">
      <w:bodyDiv w:val="1"/>
      <w:marLeft w:val="0"/>
      <w:marRight w:val="0"/>
      <w:marTop w:val="0"/>
      <w:marBottom w:val="0"/>
      <w:divBdr>
        <w:top w:val="none" w:sz="0" w:space="0" w:color="auto"/>
        <w:left w:val="none" w:sz="0" w:space="0" w:color="auto"/>
        <w:bottom w:val="none" w:sz="0" w:space="0" w:color="auto"/>
        <w:right w:val="none" w:sz="0" w:space="0" w:color="auto"/>
      </w:divBdr>
    </w:div>
    <w:div w:id="1992826206">
      <w:bodyDiv w:val="1"/>
      <w:marLeft w:val="0"/>
      <w:marRight w:val="0"/>
      <w:marTop w:val="0"/>
      <w:marBottom w:val="0"/>
      <w:divBdr>
        <w:top w:val="none" w:sz="0" w:space="0" w:color="auto"/>
        <w:left w:val="none" w:sz="0" w:space="0" w:color="auto"/>
        <w:bottom w:val="none" w:sz="0" w:space="0" w:color="auto"/>
        <w:right w:val="none" w:sz="0" w:space="0" w:color="auto"/>
      </w:divBdr>
    </w:div>
    <w:div w:id="1997490959">
      <w:bodyDiv w:val="1"/>
      <w:marLeft w:val="0"/>
      <w:marRight w:val="0"/>
      <w:marTop w:val="0"/>
      <w:marBottom w:val="0"/>
      <w:divBdr>
        <w:top w:val="none" w:sz="0" w:space="0" w:color="auto"/>
        <w:left w:val="none" w:sz="0" w:space="0" w:color="auto"/>
        <w:bottom w:val="none" w:sz="0" w:space="0" w:color="auto"/>
        <w:right w:val="none" w:sz="0" w:space="0" w:color="auto"/>
      </w:divBdr>
    </w:div>
    <w:div w:id="21246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dph.ca.gov/Programs/CHCQ/LCP/Pages/AppPacket/HHA-Initial.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cadmhc.sharepoint.com/sites/Teams-OPM-ANRTA/Shared%20Documents/General/APA%20Exempt%20Regulation/APA%20Materials%20-%20RY%202025%20(ANR)/Downloads/www.DMHC.ca.gov"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DMHC.ca.gov" TargetMode="External"/><Relationship Id="rId2" Type="http://schemas.openxmlformats.org/officeDocument/2006/relationships/hyperlink" Target="http://www.DMHC.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SharedWithUsers xmlns="db4b35ea-5a1b-4390-964d-1c6847989529">
      <UserInfo>
        <DisplayName>Ortiz, Sara@DMHC</DisplayName>
        <AccountId>39</AccountId>
        <AccountType/>
      </UserInfo>
      <UserInfo>
        <DisplayName>Sahay, Ekta@DMHC</DisplayName>
        <AccountId>65</AccountId>
        <AccountType/>
      </UserInfo>
      <UserInfo>
        <DisplayName>Holguin, Raquel@DMHC</DisplayName>
        <AccountId>993</AccountId>
        <AccountType/>
      </UserInfo>
    </SharedWithUsers>
  </documentManagement>
</p:properties>
</file>

<file path=customXml/itemProps1.xml><?xml version="1.0" encoding="utf-8"?>
<ds:datastoreItem xmlns:ds="http://schemas.openxmlformats.org/officeDocument/2006/customXml" ds:itemID="{CA5CF00F-9560-43A2-9C8C-7CEAD4D1ABF7}">
  <ds:schemaRefs>
    <ds:schemaRef ds:uri="http://schemas.microsoft.com/sharepoint/v3/contenttype/forms"/>
  </ds:schemaRefs>
</ds:datastoreItem>
</file>

<file path=customXml/itemProps2.xml><?xml version="1.0" encoding="utf-8"?>
<ds:datastoreItem xmlns:ds="http://schemas.openxmlformats.org/officeDocument/2006/customXml" ds:itemID="{0EBDCA8F-74EF-4699-83FF-1F9E7EADE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44991-6D10-4218-A8EB-1B975B55AC90}">
  <ds:schemaRefs>
    <ds:schemaRef ds:uri="http://schemas.openxmlformats.org/officeDocument/2006/bibliography"/>
  </ds:schemaRefs>
</ds:datastoreItem>
</file>

<file path=customXml/itemProps4.xml><?xml version="1.0" encoding="utf-8"?>
<ds:datastoreItem xmlns:ds="http://schemas.openxmlformats.org/officeDocument/2006/customXml" ds:itemID="{E043D1C3-E4D7-475E-91FD-F527A5AF5D0C}">
  <ds:schemaRefs>
    <ds:schemaRef ds:uri="http://schemas.microsoft.com/office/2006/metadata/longProperties"/>
  </ds:schemaRefs>
</ds:datastoreItem>
</file>

<file path=customXml/itemProps5.xml><?xml version="1.0" encoding="utf-8"?>
<ds:datastoreItem xmlns:ds="http://schemas.openxmlformats.org/officeDocument/2006/customXml" ds:itemID="{F1B00A73-8378-4606-B98B-0E6665D61051}">
  <ds:schemaRefs>
    <ds:schemaRef ds:uri="http://schemas.microsoft.com/office/2006/metadata/properties"/>
    <ds:schemaRef ds:uri="http://www.w3.org/XML/1998/namespace"/>
    <ds:schemaRef ds:uri="0441d56f-6ca1-4d16-908f-d9eaae11fec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db4b35ea-5a1b-4390-964d-1c684798952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2678</Words>
  <Characters>15265</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Frequently Asked Questions (FAQ)_RY 2025</vt:lpstr>
    </vt:vector>
  </TitlesOfParts>
  <Company/>
  <LinksUpToDate>false</LinksUpToDate>
  <CharactersWithSpaces>17908</CharactersWithSpaces>
  <SharedDoc>false</SharedDoc>
  <HLinks>
    <vt:vector size="18" baseType="variant">
      <vt:variant>
        <vt:i4>3407921</vt:i4>
      </vt:variant>
      <vt:variant>
        <vt:i4>0</vt:i4>
      </vt:variant>
      <vt:variant>
        <vt:i4>0</vt:i4>
      </vt:variant>
      <vt:variant>
        <vt:i4>5</vt:i4>
      </vt:variant>
      <vt:variant>
        <vt:lpwstr>https://www.cdph.ca.gov/Programs/CHCQ/LCP/Pages/AppPacket/HHA-Initial.aspx</vt:lpwstr>
      </vt:variant>
      <vt:variant>
        <vt:lpwstr/>
      </vt:variant>
      <vt:variant>
        <vt:i4>6488127</vt:i4>
      </vt:variant>
      <vt:variant>
        <vt:i4>3</vt:i4>
      </vt:variant>
      <vt:variant>
        <vt:i4>0</vt:i4>
      </vt:variant>
      <vt:variant>
        <vt:i4>5</vt:i4>
      </vt:variant>
      <vt:variant>
        <vt:lpwstr>https://cadmhc.sharepoint.com/sites/Teams-OPM-ANRTA/Shared Documents/General/APA Exempt Regulation/APA Materials - RY 2025 (ANR)/Downloads/www.DMHC.ca.gov</vt:lpwstr>
      </vt:variant>
      <vt:variant>
        <vt:lpwstr/>
      </vt:variant>
      <vt:variant>
        <vt:i4>7929980</vt:i4>
      </vt:variant>
      <vt:variant>
        <vt:i4>0</vt:i4>
      </vt:variant>
      <vt:variant>
        <vt:i4>0</vt:i4>
      </vt:variant>
      <vt:variant>
        <vt:i4>5</vt:i4>
      </vt:variant>
      <vt:variant>
        <vt:lpwstr>http://www.dmhc.ca.gov/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(FAQ)_RY 2025</dc:title>
  <dc:subject/>
  <dc:creator/>
  <cp:keywords/>
  <cp:lastModifiedBy>Lopez1, Greg@DMHC</cp:lastModifiedBy>
  <cp:revision>12</cp:revision>
  <dcterms:created xsi:type="dcterms:W3CDTF">2024-11-13T18:37:00Z</dcterms:created>
  <dcterms:modified xsi:type="dcterms:W3CDTF">2024-12-11T17:03:00Z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